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505DA" w14:textId="1A31636E" w:rsidR="00117EBC" w:rsidRDefault="00117EBC" w:rsidP="00E021FB">
      <w:pPr>
        <w:pStyle w:val="Body"/>
        <w:spacing w:before="100" w:beforeAutospacing="1" w:after="100" w:afterAutospacing="1"/>
        <w:ind w:firstLine="720"/>
        <w:contextualSpacing/>
        <w:jc w:val="center"/>
        <w:rPr>
          <w:rFonts w:ascii="Times New Roman" w:hAnsi="Times New Roman"/>
          <w:smallCaps/>
          <w:sz w:val="36"/>
          <w:szCs w:val="36"/>
        </w:rPr>
      </w:pPr>
      <w:r>
        <w:rPr>
          <w:rFonts w:ascii="Times New Roman" w:hAnsi="Times New Roman"/>
          <w:smallCaps/>
          <w:sz w:val="44"/>
          <w:szCs w:val="44"/>
        </w:rPr>
        <w:t>The NFL and Opioid Abuse</w:t>
      </w:r>
      <w:r w:rsidRPr="00CC71FE">
        <w:rPr>
          <w:rFonts w:ascii="Times New Roman" w:hAnsi="Times New Roman"/>
          <w:smallCaps/>
          <w:sz w:val="44"/>
          <w:szCs w:val="44"/>
        </w:rPr>
        <w:t>:</w:t>
      </w:r>
      <w:r w:rsidRPr="00A034E0">
        <w:rPr>
          <w:rFonts w:ascii="Times New Roman" w:hAnsi="Times New Roman"/>
          <w:smallCaps/>
          <w:sz w:val="36"/>
          <w:szCs w:val="36"/>
        </w:rPr>
        <w:t xml:space="preserve"> </w:t>
      </w:r>
    </w:p>
    <w:p w14:paraId="6BFE6757" w14:textId="77777777" w:rsidR="00117EBC" w:rsidRDefault="00117EBC" w:rsidP="00E021FB">
      <w:pPr>
        <w:pStyle w:val="Body"/>
        <w:spacing w:before="100" w:beforeAutospacing="1" w:after="100" w:afterAutospacing="1"/>
        <w:ind w:firstLine="720"/>
        <w:contextualSpacing/>
        <w:jc w:val="center"/>
        <w:rPr>
          <w:rFonts w:ascii="Times New Roman" w:hAnsi="Times New Roman"/>
          <w:smallCaps/>
          <w:sz w:val="32"/>
          <w:szCs w:val="32"/>
        </w:rPr>
      </w:pPr>
      <w:r>
        <w:rPr>
          <w:rFonts w:ascii="Times New Roman" w:hAnsi="Times New Roman"/>
          <w:smallCaps/>
          <w:sz w:val="32"/>
          <w:szCs w:val="32"/>
        </w:rPr>
        <w:t xml:space="preserve">Choosing the Best Route to Tackle a </w:t>
      </w:r>
    </w:p>
    <w:p w14:paraId="19CF6B12" w14:textId="77777777" w:rsidR="00117EBC" w:rsidRDefault="00117EBC" w:rsidP="00E021FB">
      <w:pPr>
        <w:pStyle w:val="Body"/>
        <w:spacing w:before="100" w:beforeAutospacing="1" w:after="100" w:afterAutospacing="1"/>
        <w:ind w:firstLine="720"/>
        <w:contextualSpacing/>
        <w:jc w:val="center"/>
        <w:rPr>
          <w:rFonts w:ascii="Times New Roman" w:hAnsi="Times New Roman"/>
          <w:smallCaps/>
          <w:sz w:val="32"/>
          <w:szCs w:val="32"/>
        </w:rPr>
      </w:pPr>
      <w:r>
        <w:rPr>
          <w:rFonts w:ascii="Times New Roman" w:hAnsi="Times New Roman"/>
          <w:smallCaps/>
          <w:sz w:val="32"/>
          <w:szCs w:val="32"/>
        </w:rPr>
        <w:t xml:space="preserve">Difficult Problem </w:t>
      </w:r>
    </w:p>
    <w:p w14:paraId="454B4BC2" w14:textId="77777777" w:rsidR="00117EBC" w:rsidRPr="00512A02" w:rsidRDefault="00117EBC" w:rsidP="00E021FB">
      <w:pPr>
        <w:pStyle w:val="Body"/>
        <w:spacing w:before="100" w:beforeAutospacing="1" w:after="100" w:afterAutospacing="1"/>
        <w:ind w:firstLine="720"/>
        <w:contextualSpacing/>
        <w:jc w:val="center"/>
        <w:rPr>
          <w:rFonts w:ascii="Times New Roman" w:hAnsi="Times New Roman"/>
          <w:smallCaps/>
          <w:sz w:val="24"/>
          <w:szCs w:val="24"/>
        </w:rPr>
      </w:pPr>
    </w:p>
    <w:p w14:paraId="269EEB2D" w14:textId="70372EAF" w:rsidR="00117EBC" w:rsidRDefault="00117EBC" w:rsidP="00E021FB">
      <w:pPr>
        <w:pStyle w:val="Body"/>
        <w:spacing w:before="100" w:beforeAutospacing="1" w:after="100" w:afterAutospacing="1"/>
        <w:ind w:firstLine="720"/>
        <w:contextualSpacing/>
        <w:jc w:val="center"/>
        <w:rPr>
          <w:rFonts w:ascii="Times New Roman" w:hAnsi="Times New Roman"/>
          <w:smallCaps/>
          <w:sz w:val="28"/>
          <w:szCs w:val="28"/>
        </w:rPr>
      </w:pPr>
      <w:r>
        <w:rPr>
          <w:rFonts w:ascii="Times New Roman" w:hAnsi="Times New Roman"/>
          <w:smallCaps/>
          <w:sz w:val="28"/>
          <w:szCs w:val="28"/>
        </w:rPr>
        <w:t>Jacob Freeland</w:t>
      </w:r>
    </w:p>
    <w:p w14:paraId="1006E8D0" w14:textId="77777777" w:rsidR="00086D05" w:rsidRPr="00086D05" w:rsidRDefault="00086D05" w:rsidP="00E021FB">
      <w:pPr>
        <w:pStyle w:val="Body"/>
        <w:spacing w:before="100" w:beforeAutospacing="1" w:after="100" w:afterAutospacing="1"/>
        <w:ind w:firstLine="720"/>
        <w:contextualSpacing/>
        <w:jc w:val="center"/>
        <w:rPr>
          <w:rFonts w:ascii="Times New Roman" w:hAnsi="Times New Roman"/>
          <w:smallCaps/>
          <w:sz w:val="24"/>
          <w:szCs w:val="24"/>
        </w:rPr>
      </w:pPr>
    </w:p>
    <w:p w14:paraId="39B0E701" w14:textId="26D367E8" w:rsidR="00117EBC" w:rsidRPr="00E4293A" w:rsidRDefault="00117EBC" w:rsidP="00E4293A">
      <w:pPr>
        <w:pStyle w:val="ListParagraph"/>
        <w:numPr>
          <w:ilvl w:val="0"/>
          <w:numId w:val="4"/>
        </w:numPr>
        <w:tabs>
          <w:tab w:val="right" w:leader="dot" w:pos="6480"/>
        </w:tabs>
        <w:ind w:left="360"/>
        <w:jc w:val="center"/>
        <w:outlineLvl w:val="0"/>
        <w:rPr>
          <w:rFonts w:eastAsia="Times New Roman" w:cs="Times New Roman"/>
          <w:smallCaps/>
          <w:sz w:val="24"/>
          <w:szCs w:val="24"/>
          <w:lang w:eastAsia="zh-CN"/>
        </w:rPr>
      </w:pPr>
      <w:r w:rsidRPr="00E4293A">
        <w:rPr>
          <w:rFonts w:eastAsia="Times New Roman" w:cs="Times New Roman"/>
          <w:smallCaps/>
          <w:sz w:val="24"/>
          <w:szCs w:val="24"/>
          <w:lang w:eastAsia="zh-CN"/>
        </w:rPr>
        <w:t>Introduction</w:t>
      </w:r>
      <w:r w:rsidRPr="00E4293A">
        <w:rPr>
          <w:rFonts w:eastAsia="Times New Roman" w:cs="Times New Roman"/>
          <w:smallCaps/>
          <w:sz w:val="24"/>
          <w:szCs w:val="24"/>
          <w:lang w:eastAsia="zh-CN"/>
        </w:rPr>
        <w:tab/>
        <w:t>1</w:t>
      </w:r>
    </w:p>
    <w:p w14:paraId="529ADA0B" w14:textId="34ABC094" w:rsidR="00117EBC" w:rsidRPr="00E4293A" w:rsidRDefault="00117EBC" w:rsidP="00E4293A">
      <w:pPr>
        <w:pStyle w:val="ListParagraph"/>
        <w:numPr>
          <w:ilvl w:val="0"/>
          <w:numId w:val="4"/>
        </w:numPr>
        <w:tabs>
          <w:tab w:val="right" w:leader="dot" w:pos="6480"/>
        </w:tabs>
        <w:ind w:left="360"/>
        <w:jc w:val="center"/>
        <w:outlineLvl w:val="0"/>
        <w:rPr>
          <w:rFonts w:eastAsia="Times New Roman" w:cs="Times New Roman"/>
          <w:smallCaps/>
          <w:sz w:val="24"/>
          <w:szCs w:val="24"/>
          <w:lang w:eastAsia="zh-CN"/>
        </w:rPr>
      </w:pPr>
      <w:r w:rsidRPr="00E4293A">
        <w:rPr>
          <w:rFonts w:eastAsia="Times New Roman" w:cs="Times New Roman"/>
          <w:smallCaps/>
          <w:sz w:val="24"/>
          <w:szCs w:val="24"/>
          <w:lang w:eastAsia="zh-CN"/>
        </w:rPr>
        <w:t xml:space="preserve">Legal and Procedural Posture </w:t>
      </w:r>
      <w:r w:rsidRPr="00E4293A">
        <w:rPr>
          <w:rFonts w:eastAsia="Times New Roman" w:cs="Times New Roman"/>
          <w:smallCaps/>
          <w:sz w:val="24"/>
          <w:szCs w:val="24"/>
          <w:lang w:eastAsia="zh-CN"/>
        </w:rPr>
        <w:tab/>
      </w:r>
      <w:r w:rsidR="00E41490" w:rsidRPr="00E4293A">
        <w:rPr>
          <w:rFonts w:eastAsia="Times New Roman" w:cs="Times New Roman"/>
          <w:smallCaps/>
          <w:sz w:val="24"/>
          <w:szCs w:val="24"/>
          <w:lang w:eastAsia="zh-CN"/>
        </w:rPr>
        <w:t>6</w:t>
      </w:r>
    </w:p>
    <w:p w14:paraId="27134299" w14:textId="49083D93" w:rsidR="00E4293A" w:rsidRDefault="00E4293A" w:rsidP="00E4293A">
      <w:pPr>
        <w:pStyle w:val="ListParagraph"/>
        <w:tabs>
          <w:tab w:val="left" w:pos="720"/>
          <w:tab w:val="right" w:leader="dot" w:pos="6480"/>
        </w:tabs>
        <w:ind w:left="360"/>
        <w:outlineLvl w:val="0"/>
        <w:rPr>
          <w:rFonts w:eastAsia="Times New Roman" w:cs="Times New Roman"/>
          <w:smallCaps/>
          <w:sz w:val="24"/>
          <w:szCs w:val="24"/>
          <w:lang w:eastAsia="zh-CN"/>
        </w:rPr>
      </w:pPr>
      <w:r w:rsidRPr="00E4293A">
        <w:rPr>
          <w:rFonts w:eastAsia="Times New Roman" w:cs="Times New Roman"/>
          <w:smallCaps/>
          <w:sz w:val="24"/>
          <w:szCs w:val="24"/>
          <w:lang w:eastAsia="zh-CN"/>
        </w:rPr>
        <w:t>A</w:t>
      </w:r>
      <w:r>
        <w:rPr>
          <w:rFonts w:eastAsia="Times New Roman" w:cs="Times New Roman"/>
          <w:smallCaps/>
          <w:sz w:val="24"/>
          <w:szCs w:val="24"/>
          <w:lang w:eastAsia="zh-CN"/>
        </w:rPr>
        <w:t>.</w:t>
      </w:r>
      <w:r>
        <w:rPr>
          <w:rFonts w:eastAsia="Times New Roman" w:cs="Times New Roman"/>
          <w:smallCaps/>
          <w:sz w:val="24"/>
          <w:szCs w:val="24"/>
          <w:lang w:eastAsia="zh-CN"/>
        </w:rPr>
        <w:tab/>
      </w:r>
      <w:r w:rsidR="00380D6E" w:rsidRPr="00E4293A">
        <w:rPr>
          <w:rFonts w:eastAsia="Times New Roman" w:cs="Times New Roman"/>
          <w:smallCaps/>
          <w:sz w:val="24"/>
          <w:szCs w:val="24"/>
          <w:lang w:eastAsia="zh-CN"/>
        </w:rPr>
        <w:t>Labor Management Relations Act</w:t>
      </w:r>
      <w:r w:rsidR="00117EBC" w:rsidRPr="00E4293A">
        <w:rPr>
          <w:rFonts w:eastAsia="Times New Roman" w:cs="Times New Roman"/>
          <w:smallCaps/>
          <w:sz w:val="24"/>
          <w:szCs w:val="24"/>
          <w:lang w:eastAsia="zh-CN"/>
        </w:rPr>
        <w:tab/>
      </w:r>
      <w:r w:rsidR="00E41490" w:rsidRPr="00E4293A">
        <w:rPr>
          <w:rFonts w:eastAsia="Times New Roman" w:cs="Times New Roman"/>
          <w:smallCaps/>
          <w:sz w:val="24"/>
          <w:szCs w:val="24"/>
          <w:lang w:eastAsia="zh-CN"/>
        </w:rPr>
        <w:t>7</w:t>
      </w:r>
    </w:p>
    <w:p w14:paraId="6BEBE3BD" w14:textId="4CACA671" w:rsidR="00117EBC" w:rsidRPr="00E4293A" w:rsidRDefault="00E4293A" w:rsidP="00E4293A">
      <w:pPr>
        <w:pStyle w:val="ListParagraph"/>
        <w:tabs>
          <w:tab w:val="left" w:pos="720"/>
          <w:tab w:val="right" w:leader="dot" w:pos="6480"/>
        </w:tabs>
        <w:ind w:left="360"/>
        <w:outlineLvl w:val="0"/>
        <w:rPr>
          <w:rFonts w:eastAsia="Times New Roman" w:cs="Times New Roman"/>
          <w:smallCaps/>
          <w:sz w:val="24"/>
          <w:szCs w:val="24"/>
          <w:lang w:eastAsia="zh-CN"/>
        </w:rPr>
      </w:pPr>
      <w:r>
        <w:rPr>
          <w:rFonts w:eastAsia="Times New Roman" w:cs="Times New Roman"/>
          <w:smallCaps/>
          <w:sz w:val="24"/>
          <w:szCs w:val="24"/>
          <w:lang w:eastAsia="zh-CN"/>
        </w:rPr>
        <w:t xml:space="preserve">B. </w:t>
      </w:r>
      <w:r>
        <w:rPr>
          <w:rFonts w:eastAsia="Times New Roman" w:cs="Times New Roman"/>
          <w:smallCaps/>
          <w:sz w:val="24"/>
          <w:szCs w:val="24"/>
          <w:lang w:eastAsia="zh-CN"/>
        </w:rPr>
        <w:tab/>
      </w:r>
      <w:r w:rsidR="00380D6E" w:rsidRPr="00E4293A">
        <w:rPr>
          <w:rFonts w:eastAsia="Times New Roman" w:cs="Times New Roman"/>
          <w:smallCaps/>
          <w:sz w:val="24"/>
          <w:szCs w:val="24"/>
          <w:lang w:eastAsia="zh-CN"/>
        </w:rPr>
        <w:t xml:space="preserve">Dent v. </w:t>
      </w:r>
      <w:proofErr w:type="spellStart"/>
      <w:r w:rsidR="00380D6E" w:rsidRPr="00E4293A">
        <w:rPr>
          <w:rFonts w:eastAsia="Times New Roman" w:cs="Times New Roman"/>
          <w:smallCaps/>
          <w:sz w:val="24"/>
          <w:szCs w:val="24"/>
          <w:lang w:eastAsia="zh-CN"/>
        </w:rPr>
        <w:t>N</w:t>
      </w:r>
      <w:r w:rsidR="006343B2">
        <w:rPr>
          <w:rFonts w:eastAsia="Times New Roman" w:cs="Times New Roman"/>
          <w:smallCaps/>
          <w:sz w:val="24"/>
          <w:szCs w:val="24"/>
          <w:lang w:eastAsia="zh-CN"/>
        </w:rPr>
        <w:t>at’l</w:t>
      </w:r>
      <w:proofErr w:type="spellEnd"/>
      <w:r w:rsidR="006343B2">
        <w:rPr>
          <w:rFonts w:eastAsia="Times New Roman" w:cs="Times New Roman"/>
          <w:smallCaps/>
          <w:sz w:val="24"/>
          <w:szCs w:val="24"/>
          <w:lang w:eastAsia="zh-CN"/>
        </w:rPr>
        <w:t xml:space="preserve"> Football </w:t>
      </w:r>
      <w:r w:rsidR="00380D6E" w:rsidRPr="00E4293A">
        <w:rPr>
          <w:rFonts w:eastAsia="Times New Roman" w:cs="Times New Roman"/>
          <w:smallCaps/>
          <w:sz w:val="24"/>
          <w:szCs w:val="24"/>
          <w:lang w:eastAsia="zh-CN"/>
        </w:rPr>
        <w:t>L</w:t>
      </w:r>
      <w:r w:rsidR="006343B2">
        <w:rPr>
          <w:rFonts w:eastAsia="Times New Roman" w:cs="Times New Roman"/>
          <w:smallCaps/>
          <w:sz w:val="24"/>
          <w:szCs w:val="24"/>
          <w:lang w:eastAsia="zh-CN"/>
        </w:rPr>
        <w:t>eague</w:t>
      </w:r>
      <w:r w:rsidR="00380D6E" w:rsidRPr="00E4293A">
        <w:rPr>
          <w:rFonts w:eastAsia="Times New Roman" w:cs="Times New Roman"/>
          <w:smallCaps/>
          <w:sz w:val="24"/>
          <w:szCs w:val="24"/>
          <w:lang w:eastAsia="zh-CN"/>
        </w:rPr>
        <w:t>, 2014</w:t>
      </w:r>
      <w:r w:rsidR="00117EBC" w:rsidRPr="00E4293A">
        <w:rPr>
          <w:rFonts w:eastAsia="Times New Roman" w:cs="Times New Roman"/>
          <w:smallCaps/>
          <w:sz w:val="24"/>
          <w:szCs w:val="24"/>
          <w:lang w:eastAsia="zh-CN"/>
        </w:rPr>
        <w:tab/>
      </w:r>
      <w:r w:rsidR="00E41490" w:rsidRPr="00E4293A">
        <w:rPr>
          <w:rFonts w:eastAsia="Times New Roman" w:cs="Times New Roman"/>
          <w:smallCaps/>
          <w:sz w:val="24"/>
          <w:szCs w:val="24"/>
          <w:lang w:eastAsia="zh-CN"/>
        </w:rPr>
        <w:t>8</w:t>
      </w:r>
    </w:p>
    <w:p w14:paraId="57467A0C" w14:textId="2CC29A1B" w:rsidR="00380D6E" w:rsidRPr="00E4293A" w:rsidRDefault="00380D6E" w:rsidP="00E4293A">
      <w:pPr>
        <w:pStyle w:val="ListParagraph"/>
        <w:numPr>
          <w:ilvl w:val="0"/>
          <w:numId w:val="14"/>
        </w:numPr>
        <w:tabs>
          <w:tab w:val="left" w:pos="720"/>
          <w:tab w:val="right" w:leader="dot" w:pos="6480"/>
        </w:tabs>
        <w:outlineLvl w:val="0"/>
        <w:rPr>
          <w:rFonts w:eastAsia="Times New Roman" w:cs="Times New Roman"/>
          <w:smallCaps/>
          <w:sz w:val="24"/>
          <w:szCs w:val="24"/>
          <w:lang w:eastAsia="zh-CN"/>
        </w:rPr>
      </w:pPr>
      <w:r w:rsidRPr="00E4293A">
        <w:rPr>
          <w:rFonts w:eastAsia="Times New Roman" w:cs="Times New Roman"/>
          <w:smallCaps/>
          <w:sz w:val="24"/>
          <w:szCs w:val="24"/>
          <w:lang w:eastAsia="zh-CN"/>
        </w:rPr>
        <w:t>Evans v. Arizona Cardinals</w:t>
      </w:r>
      <w:r w:rsidR="0055068D" w:rsidRPr="00E4293A">
        <w:rPr>
          <w:rFonts w:eastAsia="Times New Roman" w:cs="Times New Roman"/>
          <w:smallCaps/>
          <w:sz w:val="24"/>
          <w:szCs w:val="24"/>
          <w:lang w:eastAsia="zh-CN"/>
        </w:rPr>
        <w:tab/>
      </w:r>
      <w:r w:rsidR="00E41490" w:rsidRPr="00E4293A">
        <w:rPr>
          <w:rFonts w:eastAsia="Times New Roman" w:cs="Times New Roman"/>
          <w:smallCaps/>
          <w:sz w:val="24"/>
          <w:szCs w:val="24"/>
          <w:lang w:eastAsia="zh-CN"/>
        </w:rPr>
        <w:t>11</w:t>
      </w:r>
    </w:p>
    <w:p w14:paraId="6D7AC549" w14:textId="2BCCC0F5" w:rsidR="00380D6E" w:rsidRPr="00E4293A" w:rsidRDefault="00380D6E" w:rsidP="00E4293A">
      <w:pPr>
        <w:pStyle w:val="ListParagraph"/>
        <w:numPr>
          <w:ilvl w:val="0"/>
          <w:numId w:val="15"/>
        </w:numPr>
        <w:tabs>
          <w:tab w:val="left" w:pos="720"/>
          <w:tab w:val="right" w:leader="dot" w:pos="6480"/>
        </w:tabs>
        <w:outlineLvl w:val="0"/>
        <w:rPr>
          <w:rFonts w:eastAsia="Times New Roman" w:cs="Times New Roman"/>
          <w:smallCaps/>
          <w:sz w:val="24"/>
          <w:szCs w:val="24"/>
          <w:lang w:eastAsia="zh-CN"/>
        </w:rPr>
      </w:pPr>
      <w:r w:rsidRPr="00E4293A">
        <w:rPr>
          <w:rFonts w:eastAsia="Times New Roman" w:cs="Times New Roman"/>
          <w:smallCaps/>
          <w:sz w:val="24"/>
          <w:szCs w:val="24"/>
          <w:lang w:eastAsia="zh-CN"/>
        </w:rPr>
        <w:t xml:space="preserve">Dent v. </w:t>
      </w:r>
      <w:proofErr w:type="spellStart"/>
      <w:r w:rsidR="006343B2" w:rsidRPr="00E4293A">
        <w:rPr>
          <w:rFonts w:eastAsia="Times New Roman" w:cs="Times New Roman"/>
          <w:smallCaps/>
          <w:sz w:val="24"/>
          <w:szCs w:val="24"/>
          <w:lang w:eastAsia="zh-CN"/>
        </w:rPr>
        <w:t>N</w:t>
      </w:r>
      <w:r w:rsidR="006343B2">
        <w:rPr>
          <w:rFonts w:eastAsia="Times New Roman" w:cs="Times New Roman"/>
          <w:smallCaps/>
          <w:sz w:val="24"/>
          <w:szCs w:val="24"/>
          <w:lang w:eastAsia="zh-CN"/>
        </w:rPr>
        <w:t>at’l</w:t>
      </w:r>
      <w:proofErr w:type="spellEnd"/>
      <w:r w:rsidR="006343B2">
        <w:rPr>
          <w:rFonts w:eastAsia="Times New Roman" w:cs="Times New Roman"/>
          <w:smallCaps/>
          <w:sz w:val="24"/>
          <w:szCs w:val="24"/>
          <w:lang w:eastAsia="zh-CN"/>
        </w:rPr>
        <w:t xml:space="preserve"> Football </w:t>
      </w:r>
      <w:r w:rsidR="006343B2" w:rsidRPr="00E4293A">
        <w:rPr>
          <w:rFonts w:eastAsia="Times New Roman" w:cs="Times New Roman"/>
          <w:smallCaps/>
          <w:sz w:val="24"/>
          <w:szCs w:val="24"/>
          <w:lang w:eastAsia="zh-CN"/>
        </w:rPr>
        <w:t>L</w:t>
      </w:r>
      <w:r w:rsidR="006343B2">
        <w:rPr>
          <w:rFonts w:eastAsia="Times New Roman" w:cs="Times New Roman"/>
          <w:smallCaps/>
          <w:sz w:val="24"/>
          <w:szCs w:val="24"/>
          <w:lang w:eastAsia="zh-CN"/>
        </w:rPr>
        <w:t>eague</w:t>
      </w:r>
      <w:r w:rsidRPr="00E4293A">
        <w:rPr>
          <w:rFonts w:eastAsia="Times New Roman" w:cs="Times New Roman"/>
          <w:smallCaps/>
          <w:sz w:val="24"/>
          <w:szCs w:val="24"/>
          <w:lang w:eastAsia="zh-CN"/>
        </w:rPr>
        <w:t>, 2018</w:t>
      </w:r>
      <w:r w:rsidR="0055068D" w:rsidRPr="00E4293A">
        <w:rPr>
          <w:rFonts w:eastAsia="Times New Roman" w:cs="Times New Roman"/>
          <w:smallCaps/>
          <w:sz w:val="24"/>
          <w:szCs w:val="24"/>
          <w:lang w:eastAsia="zh-CN"/>
        </w:rPr>
        <w:tab/>
      </w:r>
      <w:r w:rsidR="00E41490" w:rsidRPr="00E4293A">
        <w:rPr>
          <w:rFonts w:eastAsia="Times New Roman" w:cs="Times New Roman"/>
          <w:smallCaps/>
          <w:sz w:val="24"/>
          <w:szCs w:val="24"/>
          <w:lang w:eastAsia="zh-CN"/>
        </w:rPr>
        <w:t>14</w:t>
      </w:r>
    </w:p>
    <w:p w14:paraId="49EBFD87" w14:textId="2207B901" w:rsidR="00380D6E" w:rsidRPr="00E4293A" w:rsidRDefault="00380D6E" w:rsidP="00E4293A">
      <w:pPr>
        <w:pStyle w:val="ListParagraph"/>
        <w:numPr>
          <w:ilvl w:val="0"/>
          <w:numId w:val="16"/>
        </w:numPr>
        <w:tabs>
          <w:tab w:val="right" w:leader="dot" w:pos="6480"/>
        </w:tabs>
        <w:outlineLvl w:val="0"/>
        <w:rPr>
          <w:rFonts w:eastAsia="Times New Roman" w:cs="Times New Roman"/>
          <w:smallCaps/>
          <w:sz w:val="24"/>
          <w:szCs w:val="24"/>
          <w:lang w:eastAsia="zh-CN"/>
        </w:rPr>
      </w:pPr>
      <w:r w:rsidRPr="00E4293A">
        <w:rPr>
          <w:rFonts w:eastAsia="Times New Roman" w:cs="Times New Roman"/>
          <w:smallCaps/>
          <w:sz w:val="24"/>
          <w:szCs w:val="24"/>
          <w:lang w:eastAsia="zh-CN"/>
        </w:rPr>
        <w:t xml:space="preserve">Dent v. </w:t>
      </w:r>
      <w:proofErr w:type="spellStart"/>
      <w:r w:rsidR="006343B2" w:rsidRPr="00E4293A">
        <w:rPr>
          <w:rFonts w:eastAsia="Times New Roman" w:cs="Times New Roman"/>
          <w:smallCaps/>
          <w:sz w:val="24"/>
          <w:szCs w:val="24"/>
          <w:lang w:eastAsia="zh-CN"/>
        </w:rPr>
        <w:t>N</w:t>
      </w:r>
      <w:r w:rsidR="006343B2">
        <w:rPr>
          <w:rFonts w:eastAsia="Times New Roman" w:cs="Times New Roman"/>
          <w:smallCaps/>
          <w:sz w:val="24"/>
          <w:szCs w:val="24"/>
          <w:lang w:eastAsia="zh-CN"/>
        </w:rPr>
        <w:t>at’l</w:t>
      </w:r>
      <w:proofErr w:type="spellEnd"/>
      <w:r w:rsidR="006343B2">
        <w:rPr>
          <w:rFonts w:eastAsia="Times New Roman" w:cs="Times New Roman"/>
          <w:smallCaps/>
          <w:sz w:val="24"/>
          <w:szCs w:val="24"/>
          <w:lang w:eastAsia="zh-CN"/>
        </w:rPr>
        <w:t xml:space="preserve"> Football </w:t>
      </w:r>
      <w:r w:rsidR="006343B2" w:rsidRPr="00E4293A">
        <w:rPr>
          <w:rFonts w:eastAsia="Times New Roman" w:cs="Times New Roman"/>
          <w:smallCaps/>
          <w:sz w:val="24"/>
          <w:szCs w:val="24"/>
          <w:lang w:eastAsia="zh-CN"/>
        </w:rPr>
        <w:t>L</w:t>
      </w:r>
      <w:r w:rsidR="006343B2">
        <w:rPr>
          <w:rFonts w:eastAsia="Times New Roman" w:cs="Times New Roman"/>
          <w:smallCaps/>
          <w:sz w:val="24"/>
          <w:szCs w:val="24"/>
          <w:lang w:eastAsia="zh-CN"/>
        </w:rPr>
        <w:t>eague</w:t>
      </w:r>
      <w:r w:rsidRPr="00E4293A">
        <w:rPr>
          <w:rFonts w:eastAsia="Times New Roman" w:cs="Times New Roman"/>
          <w:smallCaps/>
          <w:sz w:val="24"/>
          <w:szCs w:val="24"/>
          <w:lang w:eastAsia="zh-CN"/>
        </w:rPr>
        <w:t>, 2019</w:t>
      </w:r>
      <w:r w:rsidR="0055068D" w:rsidRPr="00E4293A">
        <w:rPr>
          <w:rFonts w:eastAsia="Times New Roman" w:cs="Times New Roman"/>
          <w:smallCaps/>
          <w:sz w:val="24"/>
          <w:szCs w:val="24"/>
          <w:lang w:eastAsia="zh-CN"/>
        </w:rPr>
        <w:tab/>
      </w:r>
      <w:r w:rsidR="00E41490" w:rsidRPr="00E4293A">
        <w:rPr>
          <w:rFonts w:eastAsia="Times New Roman" w:cs="Times New Roman"/>
          <w:smallCaps/>
          <w:sz w:val="24"/>
          <w:szCs w:val="24"/>
          <w:lang w:eastAsia="zh-CN"/>
        </w:rPr>
        <w:t>23</w:t>
      </w:r>
    </w:p>
    <w:p w14:paraId="538CB52E" w14:textId="729131C6" w:rsidR="00117EBC" w:rsidRPr="00E4293A" w:rsidRDefault="00117EBC" w:rsidP="006343B2">
      <w:pPr>
        <w:pStyle w:val="ListParagraph"/>
        <w:numPr>
          <w:ilvl w:val="0"/>
          <w:numId w:val="4"/>
        </w:numPr>
        <w:tabs>
          <w:tab w:val="right" w:leader="dot" w:pos="6480"/>
        </w:tabs>
        <w:ind w:left="360"/>
        <w:jc w:val="center"/>
        <w:outlineLvl w:val="0"/>
        <w:rPr>
          <w:rFonts w:eastAsia="Times New Roman" w:cs="Times New Roman"/>
          <w:smallCaps/>
          <w:sz w:val="24"/>
          <w:szCs w:val="24"/>
          <w:lang w:eastAsia="zh-CN"/>
        </w:rPr>
      </w:pPr>
      <w:r w:rsidRPr="00E4293A">
        <w:rPr>
          <w:rFonts w:eastAsia="Times New Roman" w:cs="Times New Roman"/>
          <w:smallCaps/>
          <w:sz w:val="24"/>
          <w:szCs w:val="24"/>
          <w:lang w:eastAsia="zh-CN"/>
        </w:rPr>
        <w:t xml:space="preserve">Legal Relief is Not a Viable Form of Relief </w:t>
      </w:r>
      <w:r w:rsidRPr="00E4293A">
        <w:rPr>
          <w:rFonts w:eastAsia="Times New Roman" w:cs="Times New Roman"/>
          <w:smallCaps/>
          <w:sz w:val="24"/>
          <w:szCs w:val="24"/>
          <w:lang w:eastAsia="zh-CN"/>
        </w:rPr>
        <w:tab/>
      </w:r>
      <w:r w:rsidR="00E41490" w:rsidRPr="00E4293A">
        <w:rPr>
          <w:rFonts w:eastAsia="Times New Roman" w:cs="Times New Roman"/>
          <w:smallCaps/>
          <w:sz w:val="24"/>
          <w:szCs w:val="24"/>
          <w:lang w:eastAsia="zh-CN"/>
        </w:rPr>
        <w:t>26</w:t>
      </w:r>
    </w:p>
    <w:p w14:paraId="3B81257C" w14:textId="0BC22DB1" w:rsidR="00117EBC" w:rsidRPr="00E4293A" w:rsidRDefault="00117EBC" w:rsidP="006343B2">
      <w:pPr>
        <w:pStyle w:val="ListParagraph"/>
        <w:numPr>
          <w:ilvl w:val="0"/>
          <w:numId w:val="4"/>
        </w:numPr>
        <w:tabs>
          <w:tab w:val="right" w:leader="dot" w:pos="6480"/>
        </w:tabs>
        <w:ind w:left="360"/>
        <w:jc w:val="center"/>
        <w:outlineLvl w:val="0"/>
        <w:rPr>
          <w:rFonts w:eastAsia="Times New Roman" w:cs="Times New Roman"/>
          <w:smallCaps/>
          <w:sz w:val="24"/>
          <w:szCs w:val="24"/>
          <w:lang w:eastAsia="zh-CN"/>
        </w:rPr>
      </w:pPr>
      <w:r w:rsidRPr="00E4293A">
        <w:rPr>
          <w:rFonts w:eastAsia="Times New Roman" w:cs="Times New Roman"/>
          <w:smallCaps/>
          <w:sz w:val="24"/>
          <w:szCs w:val="24"/>
          <w:lang w:eastAsia="zh-CN"/>
        </w:rPr>
        <w:t xml:space="preserve">Legislative Action </w:t>
      </w:r>
      <w:r w:rsidR="00E41490" w:rsidRPr="00E4293A">
        <w:rPr>
          <w:rFonts w:eastAsia="Times New Roman" w:cs="Times New Roman"/>
          <w:smallCaps/>
          <w:sz w:val="24"/>
          <w:szCs w:val="24"/>
          <w:lang w:eastAsia="zh-CN"/>
        </w:rPr>
        <w:t>&amp;</w:t>
      </w:r>
      <w:r w:rsidRPr="00E4293A">
        <w:rPr>
          <w:rFonts w:eastAsia="Times New Roman" w:cs="Times New Roman"/>
          <w:smallCaps/>
          <w:sz w:val="24"/>
          <w:szCs w:val="24"/>
          <w:lang w:eastAsia="zh-CN"/>
        </w:rPr>
        <w:t xml:space="preserve"> Cultural Awareness</w:t>
      </w:r>
      <w:r w:rsidRPr="00E4293A">
        <w:rPr>
          <w:rFonts w:eastAsia="Times New Roman" w:cs="Times New Roman"/>
          <w:smallCaps/>
          <w:sz w:val="24"/>
          <w:szCs w:val="24"/>
          <w:lang w:eastAsia="zh-CN"/>
        </w:rPr>
        <w:tab/>
      </w:r>
      <w:r w:rsidR="00E41490" w:rsidRPr="00E4293A">
        <w:rPr>
          <w:rFonts w:eastAsia="Times New Roman" w:cs="Times New Roman"/>
          <w:smallCaps/>
          <w:sz w:val="24"/>
          <w:szCs w:val="24"/>
          <w:lang w:eastAsia="zh-CN"/>
        </w:rPr>
        <w:t>30</w:t>
      </w:r>
    </w:p>
    <w:p w14:paraId="6487D7CB" w14:textId="20B1D569" w:rsidR="00117EBC" w:rsidRPr="00E4293A" w:rsidRDefault="00380D6E" w:rsidP="00E4293A">
      <w:pPr>
        <w:pStyle w:val="ListParagraph"/>
        <w:numPr>
          <w:ilvl w:val="0"/>
          <w:numId w:val="17"/>
        </w:numPr>
        <w:tabs>
          <w:tab w:val="right" w:leader="dot" w:pos="6480"/>
        </w:tabs>
        <w:outlineLvl w:val="0"/>
        <w:rPr>
          <w:rFonts w:eastAsia="Times New Roman" w:cs="Times New Roman"/>
          <w:smallCaps/>
          <w:sz w:val="24"/>
          <w:szCs w:val="24"/>
          <w:lang w:eastAsia="zh-CN"/>
        </w:rPr>
      </w:pPr>
      <w:r w:rsidRPr="00E4293A">
        <w:rPr>
          <w:rFonts w:eastAsia="Times New Roman" w:cs="Times New Roman"/>
          <w:smallCaps/>
          <w:sz w:val="24"/>
          <w:szCs w:val="24"/>
          <w:lang w:eastAsia="zh-CN"/>
        </w:rPr>
        <w:t>The NFL’s Concussion Crisis</w:t>
      </w:r>
      <w:r w:rsidR="00117EBC" w:rsidRPr="00E4293A">
        <w:rPr>
          <w:rFonts w:eastAsia="Times New Roman" w:cs="Times New Roman"/>
          <w:smallCaps/>
          <w:sz w:val="24"/>
          <w:szCs w:val="24"/>
          <w:lang w:eastAsia="zh-CN"/>
        </w:rPr>
        <w:tab/>
      </w:r>
      <w:r w:rsidR="00E41490" w:rsidRPr="00E4293A">
        <w:rPr>
          <w:rFonts w:eastAsia="Times New Roman" w:cs="Times New Roman"/>
          <w:smallCaps/>
          <w:sz w:val="24"/>
          <w:szCs w:val="24"/>
          <w:lang w:eastAsia="zh-CN"/>
        </w:rPr>
        <w:t>30</w:t>
      </w:r>
    </w:p>
    <w:p w14:paraId="3C09BF01" w14:textId="77777777" w:rsidR="00E4293A" w:rsidRDefault="00380D6E" w:rsidP="00E4293A">
      <w:pPr>
        <w:pStyle w:val="ListParagraph"/>
        <w:numPr>
          <w:ilvl w:val="0"/>
          <w:numId w:val="17"/>
        </w:numPr>
        <w:tabs>
          <w:tab w:val="right" w:leader="dot" w:pos="6480"/>
        </w:tabs>
        <w:outlineLvl w:val="0"/>
        <w:rPr>
          <w:rFonts w:eastAsia="Times New Roman" w:cs="Times New Roman"/>
          <w:smallCaps/>
          <w:sz w:val="24"/>
          <w:szCs w:val="24"/>
          <w:lang w:eastAsia="zh-CN"/>
        </w:rPr>
      </w:pPr>
      <w:r w:rsidRPr="00E4293A">
        <w:rPr>
          <w:rFonts w:eastAsia="Times New Roman" w:cs="Times New Roman"/>
          <w:smallCaps/>
          <w:sz w:val="24"/>
          <w:szCs w:val="24"/>
          <w:lang w:eastAsia="zh-CN"/>
        </w:rPr>
        <w:t xml:space="preserve">The Solution: Applying </w:t>
      </w:r>
      <w:r w:rsidR="005C6C3F" w:rsidRPr="00E4293A">
        <w:rPr>
          <w:rFonts w:eastAsia="Times New Roman" w:cs="Times New Roman"/>
          <w:smallCaps/>
          <w:sz w:val="24"/>
          <w:szCs w:val="24"/>
          <w:lang w:eastAsia="zh-CN"/>
        </w:rPr>
        <w:t>T</w:t>
      </w:r>
      <w:r w:rsidRPr="00E4293A">
        <w:rPr>
          <w:rFonts w:eastAsia="Times New Roman" w:cs="Times New Roman"/>
          <w:smallCaps/>
          <w:sz w:val="24"/>
          <w:szCs w:val="24"/>
          <w:lang w:eastAsia="zh-CN"/>
        </w:rPr>
        <w:t xml:space="preserve">hese </w:t>
      </w:r>
      <w:r w:rsidR="005C6C3F" w:rsidRPr="00E4293A">
        <w:rPr>
          <w:rFonts w:eastAsia="Times New Roman" w:cs="Times New Roman"/>
          <w:smallCaps/>
          <w:sz w:val="24"/>
          <w:szCs w:val="24"/>
          <w:lang w:eastAsia="zh-CN"/>
        </w:rPr>
        <w:t>P</w:t>
      </w:r>
      <w:r w:rsidRPr="00E4293A">
        <w:rPr>
          <w:rFonts w:eastAsia="Times New Roman" w:cs="Times New Roman"/>
          <w:smallCaps/>
          <w:sz w:val="24"/>
          <w:szCs w:val="24"/>
          <w:lang w:eastAsia="zh-CN"/>
        </w:rPr>
        <w:t xml:space="preserve">rinciples to </w:t>
      </w:r>
      <w:r w:rsidR="005C6C3F" w:rsidRPr="00E4293A">
        <w:rPr>
          <w:rFonts w:eastAsia="Times New Roman" w:cs="Times New Roman"/>
          <w:smallCaps/>
          <w:sz w:val="24"/>
          <w:szCs w:val="24"/>
          <w:lang w:eastAsia="zh-CN"/>
        </w:rPr>
        <w:t>P</w:t>
      </w:r>
      <w:r w:rsidRPr="00E4293A">
        <w:rPr>
          <w:rFonts w:eastAsia="Times New Roman" w:cs="Times New Roman"/>
          <w:smallCaps/>
          <w:sz w:val="24"/>
          <w:szCs w:val="24"/>
          <w:lang w:eastAsia="zh-CN"/>
        </w:rPr>
        <w:t xml:space="preserve">ainkiller </w:t>
      </w:r>
      <w:r w:rsidR="005C6C3F" w:rsidRPr="00E4293A">
        <w:rPr>
          <w:rFonts w:eastAsia="Times New Roman" w:cs="Times New Roman"/>
          <w:smallCaps/>
          <w:sz w:val="24"/>
          <w:szCs w:val="24"/>
          <w:lang w:eastAsia="zh-CN"/>
        </w:rPr>
        <w:t>A</w:t>
      </w:r>
      <w:r w:rsidRPr="00E4293A">
        <w:rPr>
          <w:rFonts w:eastAsia="Times New Roman" w:cs="Times New Roman"/>
          <w:smallCaps/>
          <w:sz w:val="24"/>
          <w:szCs w:val="24"/>
          <w:lang w:eastAsia="zh-CN"/>
        </w:rPr>
        <w:t>buse in the NFL</w:t>
      </w:r>
      <w:r w:rsidR="0055068D" w:rsidRPr="00E4293A">
        <w:rPr>
          <w:rFonts w:eastAsia="Times New Roman" w:cs="Times New Roman"/>
          <w:smallCaps/>
          <w:sz w:val="24"/>
          <w:szCs w:val="24"/>
          <w:lang w:eastAsia="zh-CN"/>
        </w:rPr>
        <w:tab/>
      </w:r>
      <w:r w:rsidR="00E41490" w:rsidRPr="00E4293A">
        <w:rPr>
          <w:rFonts w:eastAsia="Times New Roman" w:cs="Times New Roman"/>
          <w:smallCaps/>
          <w:sz w:val="24"/>
          <w:szCs w:val="24"/>
          <w:lang w:eastAsia="zh-CN"/>
        </w:rPr>
        <w:t>34</w:t>
      </w:r>
    </w:p>
    <w:p w14:paraId="3F345AE6" w14:textId="53BA2FB3" w:rsidR="0055068D" w:rsidRPr="00E4293A" w:rsidRDefault="00E4293A" w:rsidP="006343B2">
      <w:pPr>
        <w:pStyle w:val="ListParagraph"/>
        <w:numPr>
          <w:ilvl w:val="0"/>
          <w:numId w:val="4"/>
        </w:numPr>
        <w:tabs>
          <w:tab w:val="right" w:leader="dot" w:pos="6480"/>
        </w:tabs>
        <w:ind w:left="360"/>
        <w:jc w:val="center"/>
        <w:outlineLvl w:val="0"/>
        <w:rPr>
          <w:rFonts w:eastAsia="Times New Roman" w:cs="Times New Roman"/>
          <w:smallCaps/>
          <w:sz w:val="24"/>
          <w:szCs w:val="24"/>
          <w:lang w:eastAsia="zh-CN"/>
        </w:rPr>
      </w:pPr>
      <w:r w:rsidRPr="00E4293A">
        <w:rPr>
          <w:rFonts w:eastAsia="Times New Roman" w:cs="Times New Roman"/>
          <w:smallCaps/>
          <w:sz w:val="24"/>
          <w:szCs w:val="24"/>
          <w:lang w:eastAsia="zh-CN"/>
        </w:rPr>
        <w:t>C</w:t>
      </w:r>
      <w:r w:rsidR="00117EBC" w:rsidRPr="00E4293A">
        <w:rPr>
          <w:rFonts w:eastAsia="Times New Roman" w:cs="Times New Roman"/>
          <w:smallCaps/>
          <w:sz w:val="24"/>
          <w:szCs w:val="24"/>
          <w:lang w:eastAsia="zh-CN"/>
        </w:rPr>
        <w:t>onclusion</w:t>
      </w:r>
      <w:r w:rsidR="00117EBC" w:rsidRPr="00E4293A">
        <w:rPr>
          <w:rFonts w:eastAsia="Times New Roman" w:cs="Times New Roman"/>
          <w:smallCaps/>
          <w:sz w:val="24"/>
          <w:szCs w:val="24"/>
          <w:lang w:eastAsia="zh-CN"/>
        </w:rPr>
        <w:tab/>
      </w:r>
      <w:r w:rsidR="00E41490" w:rsidRPr="00E4293A">
        <w:rPr>
          <w:rFonts w:eastAsia="Times New Roman" w:cs="Times New Roman"/>
          <w:smallCaps/>
          <w:sz w:val="24"/>
          <w:szCs w:val="24"/>
          <w:lang w:eastAsia="zh-CN"/>
        </w:rPr>
        <w:t>37</w:t>
      </w:r>
    </w:p>
    <w:p w14:paraId="32F50A28" w14:textId="77777777" w:rsidR="00E4293A" w:rsidRPr="00E4293A" w:rsidRDefault="00E4293A" w:rsidP="00E4293A">
      <w:pPr>
        <w:pStyle w:val="ListParagraph"/>
        <w:tabs>
          <w:tab w:val="right" w:leader="dot" w:pos="6480"/>
        </w:tabs>
        <w:ind w:left="360"/>
        <w:outlineLvl w:val="0"/>
        <w:rPr>
          <w:rFonts w:eastAsia="Times New Roman" w:cs="Times New Roman"/>
          <w:smallCaps/>
          <w:sz w:val="24"/>
          <w:szCs w:val="24"/>
          <w:lang w:eastAsia="zh-CN"/>
        </w:rPr>
      </w:pPr>
    </w:p>
    <w:p w14:paraId="7BB6B442" w14:textId="247F258C" w:rsidR="00117EBC" w:rsidRPr="0017248D" w:rsidRDefault="00117EBC" w:rsidP="00E4293A">
      <w:pPr>
        <w:pStyle w:val="ListParagraph"/>
        <w:numPr>
          <w:ilvl w:val="0"/>
          <w:numId w:val="6"/>
        </w:numPr>
        <w:spacing w:before="100" w:beforeAutospacing="1" w:after="100" w:afterAutospacing="1"/>
        <w:ind w:left="0" w:firstLine="0"/>
        <w:jc w:val="center"/>
        <w:rPr>
          <w:b/>
          <w:bCs/>
        </w:rPr>
      </w:pPr>
      <w:r w:rsidRPr="00752E51">
        <w:rPr>
          <w:rFonts w:cs="Times New Roman"/>
          <w:b/>
          <w:bCs/>
          <w:smallCaps/>
          <w:sz w:val="24"/>
          <w:szCs w:val="24"/>
        </w:rPr>
        <w:t>Introduction</w:t>
      </w:r>
    </w:p>
    <w:p w14:paraId="2B2E44BC" w14:textId="709BDA93" w:rsidR="005B4449" w:rsidRPr="0055068D" w:rsidRDefault="00117EBC" w:rsidP="00E021FB">
      <w:pPr>
        <w:spacing w:before="100" w:beforeAutospacing="1" w:after="100" w:afterAutospacing="1"/>
        <w:ind w:firstLine="720"/>
        <w:contextualSpacing/>
        <w:jc w:val="both"/>
        <w:rPr>
          <w:rFonts w:cs="Times New Roman"/>
          <w:sz w:val="24"/>
          <w:szCs w:val="24"/>
        </w:rPr>
      </w:pPr>
      <w:r w:rsidRPr="00467B53">
        <w:rPr>
          <w:rFonts w:cs="Times New Roman"/>
          <w:sz w:val="24"/>
          <w:szCs w:val="24"/>
        </w:rPr>
        <w:t xml:space="preserve">Due to the sheer physical nature of football, the National Football League </w:t>
      </w:r>
      <w:r w:rsidR="00F430D0">
        <w:rPr>
          <w:rFonts w:cs="Times New Roman"/>
          <w:sz w:val="24"/>
          <w:szCs w:val="24"/>
        </w:rPr>
        <w:t>(</w:t>
      </w:r>
      <w:r w:rsidR="001A0050">
        <w:rPr>
          <w:rFonts w:cs="Times New Roman"/>
          <w:sz w:val="24"/>
          <w:szCs w:val="24"/>
        </w:rPr>
        <w:t>“</w:t>
      </w:r>
      <w:r w:rsidR="00F430D0">
        <w:rPr>
          <w:rFonts w:cs="Times New Roman"/>
          <w:sz w:val="24"/>
          <w:szCs w:val="24"/>
        </w:rPr>
        <w:t>NFL</w:t>
      </w:r>
      <w:r w:rsidR="001A0050">
        <w:rPr>
          <w:rFonts w:cs="Times New Roman"/>
          <w:sz w:val="24"/>
          <w:szCs w:val="24"/>
        </w:rPr>
        <w:t>”</w:t>
      </w:r>
      <w:r w:rsidR="00F430D0">
        <w:rPr>
          <w:rFonts w:cs="Times New Roman"/>
          <w:sz w:val="24"/>
          <w:szCs w:val="24"/>
        </w:rPr>
        <w:t xml:space="preserve">) </w:t>
      </w:r>
      <w:r w:rsidRPr="00467B53">
        <w:rPr>
          <w:rFonts w:cs="Times New Roman"/>
          <w:sz w:val="24"/>
          <w:szCs w:val="24"/>
        </w:rPr>
        <w:t>and its players have a long history of prescribing and using opioids to relieve pain.</w:t>
      </w:r>
      <w:r w:rsidR="005B4449" w:rsidRPr="00467B53">
        <w:rPr>
          <w:rStyle w:val="FootnoteReference"/>
          <w:rFonts w:cs="Times New Roman"/>
          <w:sz w:val="24"/>
          <w:szCs w:val="24"/>
        </w:rPr>
        <w:footnoteReference w:id="1"/>
      </w:r>
      <w:r w:rsidR="005B4449" w:rsidRPr="00467B53">
        <w:rPr>
          <w:rFonts w:cs="Times New Roman"/>
          <w:sz w:val="24"/>
          <w:szCs w:val="24"/>
        </w:rPr>
        <w:t xml:space="preserve"> According to a 2011 </w:t>
      </w:r>
      <w:r w:rsidR="005B4449">
        <w:rPr>
          <w:rFonts w:cs="Times New Roman"/>
          <w:sz w:val="24"/>
          <w:szCs w:val="24"/>
        </w:rPr>
        <w:t xml:space="preserve">survey commissioned </w:t>
      </w:r>
      <w:r w:rsidR="005B4449" w:rsidRPr="00467B53">
        <w:rPr>
          <w:rFonts w:cs="Times New Roman"/>
          <w:sz w:val="24"/>
          <w:szCs w:val="24"/>
        </w:rPr>
        <w:t>by ESPN in which 644 former players were asked about their use of painkillers in their playing days, the following information was discovered: fifty-two percent of former players used prescription opioids during their NFL career</w:t>
      </w:r>
      <w:r w:rsidR="005B4449">
        <w:rPr>
          <w:rFonts w:cs="Times New Roman"/>
          <w:sz w:val="24"/>
          <w:szCs w:val="24"/>
        </w:rPr>
        <w:t>s</w:t>
      </w:r>
      <w:r w:rsidR="005B4449" w:rsidRPr="00467B53">
        <w:rPr>
          <w:rFonts w:cs="Times New Roman"/>
          <w:sz w:val="24"/>
          <w:szCs w:val="24"/>
        </w:rPr>
        <w:t>.</w:t>
      </w:r>
      <w:r w:rsidR="005B4449" w:rsidRPr="00467B53">
        <w:rPr>
          <w:rStyle w:val="FootnoteReference"/>
          <w:rFonts w:cs="Times New Roman"/>
          <w:sz w:val="24"/>
          <w:szCs w:val="24"/>
        </w:rPr>
        <w:footnoteReference w:id="2"/>
      </w:r>
      <w:r w:rsidR="005B4449" w:rsidRPr="00467B53">
        <w:rPr>
          <w:rFonts w:cs="Times New Roman"/>
          <w:sz w:val="24"/>
          <w:szCs w:val="24"/>
        </w:rPr>
        <w:t xml:space="preserve"> </w:t>
      </w:r>
      <w:r w:rsidR="005B4449">
        <w:rPr>
          <w:rFonts w:cs="Times New Roman"/>
          <w:sz w:val="24"/>
          <w:szCs w:val="24"/>
        </w:rPr>
        <w:t>A</w:t>
      </w:r>
      <w:r w:rsidR="005B4449" w:rsidRPr="00467B53">
        <w:rPr>
          <w:rFonts w:cs="Times New Roman"/>
          <w:sz w:val="24"/>
          <w:szCs w:val="24"/>
        </w:rPr>
        <w:t>mong these players, seventy-one percent reported misusing opioids while they were playing in the NFL.</w:t>
      </w:r>
      <w:r w:rsidR="005B4449" w:rsidRPr="00467B53">
        <w:rPr>
          <w:rStyle w:val="FootnoteReference"/>
          <w:rFonts w:cs="Times New Roman"/>
          <w:sz w:val="24"/>
          <w:szCs w:val="24"/>
        </w:rPr>
        <w:footnoteReference w:id="3"/>
      </w:r>
      <w:r w:rsidR="005B4449" w:rsidRPr="00467B53">
        <w:rPr>
          <w:rFonts w:cs="Times New Roman"/>
          <w:sz w:val="24"/>
          <w:szCs w:val="24"/>
        </w:rPr>
        <w:t xml:space="preserve"> Additionally, fifteen percent of retired players who misused prescription opioids while in the NFL reported additional misuse within the past thirty days. </w:t>
      </w:r>
      <w:r w:rsidR="005B4449">
        <w:rPr>
          <w:rFonts w:cs="Times New Roman"/>
          <w:sz w:val="24"/>
          <w:szCs w:val="24"/>
        </w:rPr>
        <w:t>Further</w:t>
      </w:r>
      <w:r w:rsidR="005B4449" w:rsidRPr="00467B53">
        <w:rPr>
          <w:rFonts w:cs="Times New Roman"/>
          <w:sz w:val="24"/>
          <w:szCs w:val="24"/>
        </w:rPr>
        <w:t xml:space="preserve">, fifty-one percent of former NFL players who used opioids while playing in </w:t>
      </w:r>
      <w:r w:rsidR="005B4449">
        <w:rPr>
          <w:rFonts w:cs="Times New Roman"/>
          <w:sz w:val="24"/>
          <w:szCs w:val="24"/>
        </w:rPr>
        <w:t xml:space="preserve">the </w:t>
      </w:r>
      <w:r w:rsidR="00310C02">
        <w:rPr>
          <w:rFonts w:cs="Times New Roman"/>
          <w:sz w:val="24"/>
          <w:szCs w:val="24"/>
        </w:rPr>
        <w:t>NFL</w:t>
      </w:r>
      <w:r w:rsidR="005B4449" w:rsidRPr="00467B53">
        <w:rPr>
          <w:rFonts w:cs="Times New Roman"/>
          <w:sz w:val="24"/>
          <w:szCs w:val="24"/>
        </w:rPr>
        <w:t xml:space="preserve"> reported obtaining the painkillers from a combination of doctors and nonmedical sources, such as teammates, trainers</w:t>
      </w:r>
      <w:r w:rsidR="005B4449">
        <w:rPr>
          <w:rFonts w:cs="Times New Roman"/>
          <w:sz w:val="24"/>
          <w:szCs w:val="24"/>
        </w:rPr>
        <w:t>,</w:t>
      </w:r>
      <w:r w:rsidR="005B4449" w:rsidRPr="00467B53">
        <w:rPr>
          <w:rFonts w:cs="Times New Roman"/>
          <w:sz w:val="24"/>
          <w:szCs w:val="24"/>
        </w:rPr>
        <w:t xml:space="preserve"> and </w:t>
      </w:r>
      <w:r w:rsidR="005B4449" w:rsidRPr="00467B53">
        <w:rPr>
          <w:rFonts w:cs="Times New Roman"/>
          <w:sz w:val="24"/>
          <w:szCs w:val="24"/>
        </w:rPr>
        <w:lastRenderedPageBreak/>
        <w:t>even coaches.</w:t>
      </w:r>
      <w:r w:rsidR="005B4449" w:rsidRPr="00467B53">
        <w:rPr>
          <w:rStyle w:val="FootnoteReference"/>
          <w:rFonts w:cs="Times New Roman"/>
          <w:sz w:val="24"/>
          <w:szCs w:val="24"/>
        </w:rPr>
        <w:footnoteReference w:id="4"/>
      </w:r>
      <w:r w:rsidR="005B4449" w:rsidRPr="00467B53">
        <w:rPr>
          <w:rFonts w:cs="Times New Roman"/>
          <w:sz w:val="24"/>
          <w:szCs w:val="24"/>
        </w:rPr>
        <w:t xml:space="preserve"> Lastly, the survey found that former players who misused opioids during their playing careers were over three times more likely to misuse the drugs in the past month</w:t>
      </w:r>
      <w:r w:rsidR="005B4449">
        <w:rPr>
          <w:rFonts w:cs="Times New Roman"/>
          <w:sz w:val="24"/>
          <w:szCs w:val="24"/>
        </w:rPr>
        <w:t xml:space="preserve"> </w:t>
      </w:r>
      <w:r w:rsidR="005B4449" w:rsidRPr="00467B53">
        <w:rPr>
          <w:rFonts w:cs="Times New Roman"/>
          <w:sz w:val="24"/>
          <w:szCs w:val="24"/>
        </w:rPr>
        <w:t>than players who used opioids as prescribed.</w:t>
      </w:r>
      <w:r w:rsidR="005B4449" w:rsidRPr="00467B53">
        <w:rPr>
          <w:rStyle w:val="FootnoteReference"/>
          <w:rFonts w:cs="Times New Roman"/>
          <w:sz w:val="24"/>
          <w:szCs w:val="24"/>
        </w:rPr>
        <w:footnoteReference w:id="5"/>
      </w:r>
    </w:p>
    <w:p w14:paraId="290FA469" w14:textId="6386A4B8" w:rsidR="005B4449" w:rsidRPr="008132E3" w:rsidRDefault="00E4293A" w:rsidP="00E021FB">
      <w:pPr>
        <w:spacing w:before="100" w:beforeAutospacing="1" w:after="100" w:afterAutospacing="1"/>
        <w:ind w:firstLine="720"/>
        <w:contextualSpacing/>
        <w:jc w:val="both"/>
        <w:rPr>
          <w:rFonts w:cs="Times New Roman"/>
          <w:sz w:val="24"/>
          <w:szCs w:val="24"/>
        </w:rPr>
      </w:pPr>
      <w:r>
        <w:rPr>
          <w:rFonts w:cs="Times New Roman"/>
          <w:sz w:val="24"/>
          <w:szCs w:val="24"/>
        </w:rPr>
        <w:t>M</w:t>
      </w:r>
      <w:r w:rsidR="005B4449" w:rsidRPr="00467B53">
        <w:rPr>
          <w:rFonts w:cs="Times New Roman"/>
          <w:sz w:val="24"/>
          <w:szCs w:val="24"/>
        </w:rPr>
        <w:t>any former players have spoken against the regular</w:t>
      </w:r>
      <w:r w:rsidR="005B4449">
        <w:rPr>
          <w:rFonts w:cs="Times New Roman"/>
          <w:sz w:val="24"/>
          <w:szCs w:val="24"/>
        </w:rPr>
        <w:t xml:space="preserve"> use of</w:t>
      </w:r>
      <w:r w:rsidR="005B4449" w:rsidRPr="00467B53">
        <w:rPr>
          <w:rFonts w:cs="Times New Roman"/>
          <w:sz w:val="24"/>
          <w:szCs w:val="24"/>
        </w:rPr>
        <w:t xml:space="preserve"> painkillers in the NFL. According to recently retired NFL wide receiver Calvin Johnson, team doctors and physicians were giving out painkillers to players “like candy”</w:t>
      </w:r>
      <w:r w:rsidR="005B4449">
        <w:rPr>
          <w:rFonts w:cs="Times New Roman"/>
          <w:sz w:val="24"/>
          <w:szCs w:val="24"/>
        </w:rPr>
        <w:t xml:space="preserve"> during his career.</w:t>
      </w:r>
      <w:r w:rsidR="005B4449" w:rsidRPr="00467B53">
        <w:rPr>
          <w:rStyle w:val="FootnoteReference"/>
          <w:rFonts w:cs="Times New Roman"/>
          <w:sz w:val="24"/>
          <w:szCs w:val="24"/>
        </w:rPr>
        <w:footnoteReference w:id="6"/>
      </w:r>
      <w:r w:rsidR="005B4449" w:rsidRPr="00467B53">
        <w:rPr>
          <w:rFonts w:cs="Times New Roman"/>
          <w:sz w:val="24"/>
          <w:szCs w:val="24"/>
        </w:rPr>
        <w:t xml:space="preserve"> He further stated, “If you were hurting, then you could get them, you know. It was nothing. If you were dependent on them, they were readily available.”</w:t>
      </w:r>
      <w:r w:rsidR="005B4449" w:rsidRPr="00467B53">
        <w:rPr>
          <w:rStyle w:val="FootnoteReference"/>
          <w:rFonts w:cs="Times New Roman"/>
          <w:sz w:val="24"/>
          <w:szCs w:val="24"/>
        </w:rPr>
        <w:footnoteReference w:id="7"/>
      </w:r>
      <w:r w:rsidR="005B4449" w:rsidRPr="00467B53">
        <w:rPr>
          <w:rFonts w:cs="Times New Roman"/>
          <w:sz w:val="24"/>
          <w:szCs w:val="24"/>
        </w:rPr>
        <w:t xml:space="preserve"> Former NFL quarterback Brett Favre also admitted tha</w:t>
      </w:r>
      <w:r w:rsidR="005B4449">
        <w:rPr>
          <w:rFonts w:cs="Times New Roman"/>
          <w:sz w:val="24"/>
          <w:szCs w:val="24"/>
        </w:rPr>
        <w:t>t</w:t>
      </w:r>
      <w:r w:rsidR="005B4449" w:rsidRPr="00467B53">
        <w:rPr>
          <w:rFonts w:cs="Times New Roman"/>
          <w:sz w:val="24"/>
          <w:szCs w:val="24"/>
        </w:rPr>
        <w:t xml:space="preserve"> he developed an addiction to prescription painkillers</w:t>
      </w:r>
      <w:r w:rsidR="005B4449">
        <w:rPr>
          <w:rFonts w:cs="Times New Roman"/>
          <w:sz w:val="24"/>
          <w:szCs w:val="24"/>
        </w:rPr>
        <w:t xml:space="preserve"> during his career</w:t>
      </w:r>
      <w:r w:rsidR="005B4449" w:rsidRPr="00467B53">
        <w:rPr>
          <w:rFonts w:cs="Times New Roman"/>
          <w:sz w:val="24"/>
          <w:szCs w:val="24"/>
        </w:rPr>
        <w:t>.</w:t>
      </w:r>
      <w:r w:rsidR="005B4449" w:rsidRPr="00467B53">
        <w:rPr>
          <w:rStyle w:val="FootnoteReference"/>
          <w:rFonts w:cs="Times New Roman"/>
          <w:sz w:val="24"/>
          <w:szCs w:val="24"/>
        </w:rPr>
        <w:footnoteReference w:id="8"/>
      </w:r>
      <w:r w:rsidR="005B4449" w:rsidRPr="00467B53">
        <w:rPr>
          <w:rFonts w:cs="Times New Roman"/>
          <w:sz w:val="24"/>
          <w:szCs w:val="24"/>
        </w:rPr>
        <w:t xml:space="preserve"> During his MVP season in 1995, Brett Favre admitted that he </w:t>
      </w:r>
      <w:r w:rsidR="005B4449">
        <w:rPr>
          <w:rFonts w:cs="Times New Roman"/>
          <w:sz w:val="24"/>
          <w:szCs w:val="24"/>
        </w:rPr>
        <w:t>took</w:t>
      </w:r>
      <w:r w:rsidR="005B4449" w:rsidRPr="00467B53">
        <w:rPr>
          <w:rFonts w:cs="Times New Roman"/>
          <w:sz w:val="24"/>
          <w:szCs w:val="24"/>
        </w:rPr>
        <w:t xml:space="preserve"> as many as fourteen Vicodin at on</w:t>
      </w:r>
      <w:r w:rsidR="005B4449">
        <w:rPr>
          <w:rFonts w:cs="Times New Roman"/>
          <w:sz w:val="24"/>
          <w:szCs w:val="24"/>
        </w:rPr>
        <w:t>e time</w:t>
      </w:r>
      <w:r w:rsidR="005B4449" w:rsidRPr="00467B53">
        <w:rPr>
          <w:rFonts w:cs="Times New Roman"/>
          <w:sz w:val="24"/>
          <w:szCs w:val="24"/>
        </w:rPr>
        <w:t xml:space="preserve"> </w:t>
      </w:r>
      <w:proofErr w:type="gramStart"/>
      <w:r w:rsidR="005B4449" w:rsidRPr="00467B53">
        <w:rPr>
          <w:rFonts w:cs="Times New Roman"/>
          <w:sz w:val="24"/>
          <w:szCs w:val="24"/>
        </w:rPr>
        <w:t>in order to</w:t>
      </w:r>
      <w:proofErr w:type="gramEnd"/>
      <w:r w:rsidR="005B4449" w:rsidRPr="00467B53">
        <w:rPr>
          <w:rFonts w:cs="Times New Roman"/>
          <w:sz w:val="24"/>
          <w:szCs w:val="24"/>
        </w:rPr>
        <w:t xml:space="preserve"> suppress his pain from playing football.</w:t>
      </w:r>
      <w:r w:rsidR="005B4449" w:rsidRPr="00467B53">
        <w:rPr>
          <w:rStyle w:val="FootnoteReference"/>
          <w:rFonts w:cs="Times New Roman"/>
          <w:sz w:val="24"/>
          <w:szCs w:val="24"/>
        </w:rPr>
        <w:footnoteReference w:id="9"/>
      </w:r>
      <w:r w:rsidR="005B4449" w:rsidRPr="00467B53">
        <w:rPr>
          <w:rFonts w:cs="Times New Roman"/>
          <w:sz w:val="24"/>
          <w:szCs w:val="24"/>
        </w:rPr>
        <w:t xml:space="preserve"> Favre stated, “It is really amazing, as I think back, how well I played that year. That was an MVP year for me. But that year, when I woke up in the morning, my first thought was,</w:t>
      </w:r>
      <w:r w:rsidR="005B4449">
        <w:rPr>
          <w:rFonts w:cs="Times New Roman"/>
        </w:rPr>
        <w:t xml:space="preserve"> </w:t>
      </w:r>
      <w:r w:rsidR="005B4449" w:rsidRPr="008132E3">
        <w:rPr>
          <w:rFonts w:cs="Times New Roman"/>
          <w:sz w:val="24"/>
          <w:szCs w:val="24"/>
        </w:rPr>
        <w:t>‘I got to get more pills.’”</w:t>
      </w:r>
      <w:r w:rsidR="005B4449" w:rsidRPr="008132E3">
        <w:rPr>
          <w:rStyle w:val="FootnoteReference"/>
          <w:rFonts w:cs="Times New Roman"/>
          <w:sz w:val="24"/>
          <w:szCs w:val="24"/>
        </w:rPr>
        <w:footnoteReference w:id="10"/>
      </w:r>
      <w:r w:rsidR="005B4449" w:rsidRPr="008132E3">
        <w:rPr>
          <w:rFonts w:cs="Times New Roman"/>
          <w:sz w:val="24"/>
          <w:szCs w:val="24"/>
        </w:rPr>
        <w:t xml:space="preserve"> Further, former player Eugene Monroe, who is an outspoken opponent of painkiller use in </w:t>
      </w:r>
      <w:r w:rsidR="005B4449">
        <w:rPr>
          <w:rFonts w:cs="Times New Roman"/>
          <w:sz w:val="24"/>
          <w:szCs w:val="24"/>
        </w:rPr>
        <w:t>the League</w:t>
      </w:r>
      <w:r w:rsidR="005B4449" w:rsidRPr="008132E3">
        <w:rPr>
          <w:rFonts w:cs="Times New Roman"/>
          <w:sz w:val="24"/>
          <w:szCs w:val="24"/>
        </w:rPr>
        <w:t xml:space="preserve">, stated that opioids </w:t>
      </w:r>
      <w:r w:rsidR="005B4449">
        <w:rPr>
          <w:rFonts w:cs="Times New Roman"/>
          <w:sz w:val="24"/>
          <w:szCs w:val="24"/>
        </w:rPr>
        <w:t>were</w:t>
      </w:r>
      <w:r w:rsidR="005B4449" w:rsidRPr="008132E3">
        <w:rPr>
          <w:rFonts w:cs="Times New Roman"/>
          <w:sz w:val="24"/>
          <w:szCs w:val="24"/>
        </w:rPr>
        <w:t xml:space="preserve"> readily dispensed in team locker rooms for several years. He even suggested that NFL teams encourage their players to take and use painkillers.</w:t>
      </w:r>
      <w:r w:rsidR="005B4449" w:rsidRPr="008132E3">
        <w:rPr>
          <w:rStyle w:val="FootnoteReference"/>
          <w:rFonts w:cs="Times New Roman"/>
          <w:sz w:val="24"/>
          <w:szCs w:val="24"/>
        </w:rPr>
        <w:footnoteReference w:id="11"/>
      </w:r>
    </w:p>
    <w:p w14:paraId="582307E4" w14:textId="25872D46" w:rsidR="005B4449" w:rsidRPr="008132E3" w:rsidRDefault="005B4449" w:rsidP="00E021FB">
      <w:pPr>
        <w:spacing w:before="100" w:beforeAutospacing="1" w:after="100" w:afterAutospacing="1"/>
        <w:ind w:firstLine="720"/>
        <w:contextualSpacing/>
        <w:jc w:val="both"/>
        <w:rPr>
          <w:rFonts w:cs="Times New Roman"/>
          <w:sz w:val="24"/>
          <w:szCs w:val="24"/>
        </w:rPr>
      </w:pPr>
      <w:r w:rsidRPr="008132E3">
        <w:rPr>
          <w:rFonts w:cs="Times New Roman"/>
          <w:sz w:val="24"/>
          <w:szCs w:val="24"/>
        </w:rPr>
        <w:t xml:space="preserve">However, former players are not the only ones complaining about opioid misuse in the NFL. Current NFL superstar Travis Kelce admitted that </w:t>
      </w:r>
      <w:proofErr w:type="gramStart"/>
      <w:r>
        <w:rPr>
          <w:rFonts w:cs="Times New Roman"/>
          <w:sz w:val="24"/>
          <w:szCs w:val="24"/>
        </w:rPr>
        <w:t>as a result of</w:t>
      </w:r>
      <w:proofErr w:type="gramEnd"/>
      <w:r>
        <w:rPr>
          <w:rFonts w:cs="Times New Roman"/>
          <w:sz w:val="24"/>
          <w:szCs w:val="24"/>
        </w:rPr>
        <w:t xml:space="preserve"> his involvement with</w:t>
      </w:r>
      <w:r w:rsidRPr="008132E3">
        <w:rPr>
          <w:rFonts w:cs="Times New Roman"/>
          <w:sz w:val="24"/>
          <w:szCs w:val="24"/>
        </w:rPr>
        <w:t xml:space="preserve"> the NFL, he developed a dependence on opioids.</w:t>
      </w:r>
      <w:r w:rsidRPr="008132E3">
        <w:rPr>
          <w:rStyle w:val="FootnoteReference"/>
          <w:rFonts w:cs="Times New Roman"/>
          <w:sz w:val="24"/>
          <w:szCs w:val="24"/>
        </w:rPr>
        <w:footnoteReference w:id="12"/>
      </w:r>
      <w:r w:rsidRPr="008132E3">
        <w:rPr>
          <w:rFonts w:cs="Times New Roman"/>
          <w:sz w:val="24"/>
          <w:szCs w:val="24"/>
        </w:rPr>
        <w:t xml:space="preserve"> Kelce stated, “During my first surgery, I had no idea that these pain medications were something that I was going to want, that my body was going to want, and that I was going to feel uncomfortable if I didn’t have these.”</w:t>
      </w:r>
      <w:r w:rsidRPr="008132E3">
        <w:rPr>
          <w:rStyle w:val="FootnoteReference"/>
          <w:rFonts w:cs="Times New Roman"/>
          <w:sz w:val="24"/>
          <w:szCs w:val="24"/>
        </w:rPr>
        <w:footnoteReference w:id="13"/>
      </w:r>
    </w:p>
    <w:p w14:paraId="52F29510" w14:textId="66C4E0B1" w:rsidR="005B4449" w:rsidRPr="008132E3" w:rsidRDefault="005B4449" w:rsidP="00E021FB">
      <w:pPr>
        <w:spacing w:before="100" w:beforeAutospacing="1" w:after="100" w:afterAutospacing="1"/>
        <w:ind w:firstLine="720"/>
        <w:contextualSpacing/>
        <w:jc w:val="both"/>
        <w:rPr>
          <w:rFonts w:cs="Times New Roman"/>
          <w:sz w:val="24"/>
          <w:szCs w:val="24"/>
        </w:rPr>
      </w:pPr>
      <w:r>
        <w:rPr>
          <w:rFonts w:cs="Times New Roman"/>
          <w:sz w:val="24"/>
          <w:szCs w:val="24"/>
        </w:rPr>
        <w:t xml:space="preserve">When analyzing the high volume of reports from current and former players, </w:t>
      </w:r>
      <w:proofErr w:type="gramStart"/>
      <w:r>
        <w:rPr>
          <w:rFonts w:cs="Times New Roman"/>
          <w:sz w:val="24"/>
          <w:szCs w:val="24"/>
        </w:rPr>
        <w:t>it is clear that there</w:t>
      </w:r>
      <w:proofErr w:type="gramEnd"/>
      <w:r>
        <w:rPr>
          <w:rFonts w:cs="Times New Roman"/>
          <w:sz w:val="24"/>
          <w:szCs w:val="24"/>
        </w:rPr>
        <w:t xml:space="preserve"> is a long history of painkiller abuse by teams and players in the NFL. </w:t>
      </w:r>
      <w:r w:rsidRPr="008132E3">
        <w:rPr>
          <w:rFonts w:cs="Times New Roman"/>
          <w:sz w:val="24"/>
          <w:szCs w:val="24"/>
        </w:rPr>
        <w:t>To make matters worse, t</w:t>
      </w:r>
      <w:r>
        <w:rPr>
          <w:rFonts w:cs="Times New Roman"/>
          <w:sz w:val="24"/>
          <w:szCs w:val="24"/>
        </w:rPr>
        <w:t>he abuse</w:t>
      </w:r>
      <w:r w:rsidRPr="008132E3">
        <w:rPr>
          <w:rFonts w:cs="Times New Roman"/>
          <w:sz w:val="24"/>
          <w:szCs w:val="24"/>
        </w:rPr>
        <w:t xml:space="preserve"> does</w:t>
      </w:r>
      <w:r>
        <w:rPr>
          <w:rFonts w:cs="Times New Roman"/>
          <w:sz w:val="24"/>
          <w:szCs w:val="24"/>
        </w:rPr>
        <w:t xml:space="preserve"> no</w:t>
      </w:r>
      <w:r w:rsidRPr="008132E3">
        <w:rPr>
          <w:rFonts w:cs="Times New Roman"/>
          <w:sz w:val="24"/>
          <w:szCs w:val="24"/>
        </w:rPr>
        <w:t>t always end when players stop playing.</w:t>
      </w:r>
      <w:r w:rsidRPr="008132E3">
        <w:rPr>
          <w:rStyle w:val="FootnoteReference"/>
          <w:rFonts w:cs="Times New Roman"/>
          <w:sz w:val="24"/>
          <w:szCs w:val="24"/>
        </w:rPr>
        <w:footnoteReference w:id="14"/>
      </w:r>
      <w:r w:rsidRPr="008132E3">
        <w:rPr>
          <w:rFonts w:cs="Times New Roman"/>
          <w:sz w:val="24"/>
          <w:szCs w:val="24"/>
        </w:rPr>
        <w:t xml:space="preserve"> According to former NFL lineman Aaron Gibson, after he </w:t>
      </w:r>
      <w:proofErr w:type="gramStart"/>
      <w:r w:rsidRPr="008132E3">
        <w:rPr>
          <w:rFonts w:cs="Times New Roman"/>
          <w:sz w:val="24"/>
          <w:szCs w:val="24"/>
        </w:rPr>
        <w:t>retired</w:t>
      </w:r>
      <w:proofErr w:type="gramEnd"/>
      <w:r w:rsidRPr="008132E3">
        <w:rPr>
          <w:rFonts w:cs="Times New Roman"/>
          <w:sz w:val="24"/>
          <w:szCs w:val="24"/>
        </w:rPr>
        <w:t xml:space="preserve"> he was taking as many as 200 pills a day because of the substance dependence he </w:t>
      </w:r>
      <w:r w:rsidRPr="008132E3">
        <w:rPr>
          <w:rFonts w:cs="Times New Roman"/>
          <w:sz w:val="24"/>
          <w:szCs w:val="24"/>
        </w:rPr>
        <w:lastRenderedPageBreak/>
        <w:t xml:space="preserve">developed during his time in </w:t>
      </w:r>
      <w:r>
        <w:rPr>
          <w:rFonts w:cs="Times New Roman"/>
          <w:sz w:val="24"/>
          <w:szCs w:val="24"/>
        </w:rPr>
        <w:t>the League</w:t>
      </w:r>
      <w:r w:rsidRPr="008132E3">
        <w:rPr>
          <w:rFonts w:cs="Times New Roman"/>
          <w:sz w:val="24"/>
          <w:szCs w:val="24"/>
        </w:rPr>
        <w:t>.</w:t>
      </w:r>
      <w:r w:rsidRPr="008132E3">
        <w:rPr>
          <w:rStyle w:val="FootnoteReference"/>
          <w:rFonts w:cs="Times New Roman"/>
          <w:sz w:val="24"/>
          <w:szCs w:val="24"/>
        </w:rPr>
        <w:footnoteReference w:id="15"/>
      </w:r>
      <w:r w:rsidRPr="008132E3">
        <w:rPr>
          <w:rFonts w:cs="Times New Roman"/>
          <w:sz w:val="24"/>
          <w:szCs w:val="24"/>
        </w:rPr>
        <w:t xml:space="preserve"> Gibson later stated, “If I didn’t play in the NFL, I know I wouldn’t have been in this situation.”</w:t>
      </w:r>
      <w:r>
        <w:rPr>
          <w:rStyle w:val="FootnoteReference"/>
          <w:rFonts w:cs="Times New Roman"/>
          <w:sz w:val="24"/>
          <w:szCs w:val="24"/>
        </w:rPr>
        <w:footnoteReference w:id="16"/>
      </w:r>
    </w:p>
    <w:p w14:paraId="3F4D5B7B" w14:textId="67444C47" w:rsidR="005B4449" w:rsidRPr="008132E3" w:rsidRDefault="005B4449" w:rsidP="00E021FB">
      <w:pPr>
        <w:spacing w:before="100" w:beforeAutospacing="1" w:after="100" w:afterAutospacing="1"/>
        <w:ind w:firstLine="720"/>
        <w:contextualSpacing/>
        <w:jc w:val="both"/>
        <w:rPr>
          <w:rFonts w:cs="Times New Roman"/>
          <w:sz w:val="24"/>
          <w:szCs w:val="24"/>
        </w:rPr>
      </w:pPr>
      <w:r w:rsidRPr="008132E3">
        <w:rPr>
          <w:rFonts w:cs="Times New Roman"/>
          <w:sz w:val="24"/>
          <w:szCs w:val="24"/>
        </w:rPr>
        <w:t>Even the NFL’s front office is aware of the issue and has commented openly on the topic. Commissioner Roger Goodell stated, “We obviously put this as a huge priority for us, making sure that we are taking care of our current players as well as our former players.</w:t>
      </w:r>
      <w:r>
        <w:rPr>
          <w:rFonts w:cs="Times New Roman"/>
          <w:sz w:val="24"/>
          <w:szCs w:val="24"/>
        </w:rPr>
        <w:t>” Goodell continued by stating, “</w:t>
      </w:r>
      <w:r w:rsidRPr="008132E3">
        <w:rPr>
          <w:rFonts w:cs="Times New Roman"/>
          <w:sz w:val="24"/>
          <w:szCs w:val="24"/>
        </w:rPr>
        <w:t>Our players are cared for by the world’s finest medical professionals. The dedicated medical and training staffs of every NFL club are always and have</w:t>
      </w:r>
      <w:r>
        <w:rPr>
          <w:rFonts w:cs="Times New Roman"/>
          <w:sz w:val="24"/>
          <w:szCs w:val="24"/>
        </w:rPr>
        <w:t xml:space="preserve"> always</w:t>
      </w:r>
      <w:r w:rsidRPr="008132E3">
        <w:rPr>
          <w:rFonts w:cs="Times New Roman"/>
          <w:sz w:val="24"/>
          <w:szCs w:val="24"/>
        </w:rPr>
        <w:t xml:space="preserve"> been committed to providing their patients with the best possible care.”</w:t>
      </w:r>
      <w:r>
        <w:rPr>
          <w:rStyle w:val="FootnoteReference"/>
          <w:rFonts w:cs="Times New Roman"/>
          <w:sz w:val="24"/>
          <w:szCs w:val="24"/>
        </w:rPr>
        <w:footnoteReference w:id="17"/>
      </w:r>
    </w:p>
    <w:p w14:paraId="15BB6144" w14:textId="48AC58EF" w:rsidR="005B4449" w:rsidRPr="008132E3" w:rsidRDefault="005B4449" w:rsidP="00E021FB">
      <w:pPr>
        <w:spacing w:before="100" w:beforeAutospacing="1" w:after="100" w:afterAutospacing="1"/>
        <w:ind w:firstLine="720"/>
        <w:contextualSpacing/>
        <w:jc w:val="both"/>
        <w:rPr>
          <w:rFonts w:cs="Times New Roman"/>
          <w:sz w:val="24"/>
          <w:szCs w:val="24"/>
        </w:rPr>
      </w:pPr>
      <w:r w:rsidRPr="008132E3">
        <w:rPr>
          <w:rFonts w:cs="Times New Roman"/>
          <w:sz w:val="24"/>
          <w:szCs w:val="24"/>
        </w:rPr>
        <w:t>In short, th</w:t>
      </w:r>
      <w:r>
        <w:rPr>
          <w:rFonts w:cs="Times New Roman"/>
          <w:sz w:val="24"/>
          <w:szCs w:val="24"/>
        </w:rPr>
        <w:t>e history of painkiller abuse by players and distribution of painkillers by team doctors has spurred</w:t>
      </w:r>
      <w:r w:rsidRPr="008132E3">
        <w:rPr>
          <w:rFonts w:cs="Times New Roman"/>
          <w:sz w:val="24"/>
          <w:szCs w:val="24"/>
        </w:rPr>
        <w:t xml:space="preserve"> debate concerning </w:t>
      </w:r>
      <w:proofErr w:type="gramStart"/>
      <w:r w:rsidRPr="008132E3">
        <w:rPr>
          <w:rFonts w:cs="Times New Roman"/>
          <w:sz w:val="24"/>
          <w:szCs w:val="24"/>
        </w:rPr>
        <w:t>whether or not</w:t>
      </w:r>
      <w:proofErr w:type="gramEnd"/>
      <w:r w:rsidRPr="008132E3">
        <w:rPr>
          <w:rFonts w:cs="Times New Roman"/>
          <w:sz w:val="24"/>
          <w:szCs w:val="24"/>
        </w:rPr>
        <w:t xml:space="preserve"> the NFL should be held liable for the </w:t>
      </w:r>
      <w:r>
        <w:rPr>
          <w:rFonts w:cs="Times New Roman"/>
          <w:sz w:val="24"/>
          <w:szCs w:val="24"/>
        </w:rPr>
        <w:t xml:space="preserve">dangerous </w:t>
      </w:r>
      <w:r w:rsidRPr="008132E3">
        <w:rPr>
          <w:rFonts w:cs="Times New Roman"/>
          <w:sz w:val="24"/>
          <w:szCs w:val="24"/>
        </w:rPr>
        <w:t>addiction</w:t>
      </w:r>
      <w:r>
        <w:rPr>
          <w:rFonts w:cs="Times New Roman"/>
          <w:sz w:val="24"/>
          <w:szCs w:val="24"/>
        </w:rPr>
        <w:t>s</w:t>
      </w:r>
      <w:r w:rsidRPr="008132E3">
        <w:rPr>
          <w:rFonts w:cs="Times New Roman"/>
          <w:sz w:val="24"/>
          <w:szCs w:val="24"/>
        </w:rPr>
        <w:t xml:space="preserve"> and </w:t>
      </w:r>
      <w:r>
        <w:rPr>
          <w:rFonts w:cs="Times New Roman"/>
          <w:sz w:val="24"/>
          <w:szCs w:val="24"/>
        </w:rPr>
        <w:t xml:space="preserve">resulting </w:t>
      </w:r>
      <w:r w:rsidRPr="008132E3">
        <w:rPr>
          <w:rFonts w:cs="Times New Roman"/>
          <w:sz w:val="24"/>
          <w:szCs w:val="24"/>
        </w:rPr>
        <w:t>injuries to former players</w:t>
      </w:r>
      <w:r>
        <w:rPr>
          <w:rFonts w:cs="Times New Roman"/>
          <w:sz w:val="24"/>
          <w:szCs w:val="24"/>
        </w:rPr>
        <w:t>’</w:t>
      </w:r>
      <w:r w:rsidRPr="008132E3">
        <w:rPr>
          <w:rFonts w:cs="Times New Roman"/>
          <w:sz w:val="24"/>
          <w:szCs w:val="24"/>
        </w:rPr>
        <w:t xml:space="preserve"> health.</w:t>
      </w:r>
      <w:r>
        <w:rPr>
          <w:rStyle w:val="FootnoteReference"/>
          <w:rFonts w:cs="Times New Roman"/>
          <w:sz w:val="24"/>
          <w:szCs w:val="24"/>
        </w:rPr>
        <w:footnoteReference w:id="18"/>
      </w:r>
      <w:r>
        <w:rPr>
          <w:rFonts w:cs="Times New Roman"/>
          <w:sz w:val="24"/>
          <w:szCs w:val="24"/>
        </w:rPr>
        <w:t xml:space="preserve"> </w:t>
      </w:r>
    </w:p>
    <w:p w14:paraId="508F308A" w14:textId="7E957684" w:rsidR="005B4449" w:rsidRPr="008132E3" w:rsidRDefault="005B4449" w:rsidP="00E021FB">
      <w:pPr>
        <w:spacing w:before="100" w:beforeAutospacing="1" w:after="100" w:afterAutospacing="1"/>
        <w:ind w:firstLine="720"/>
        <w:contextualSpacing/>
        <w:jc w:val="both"/>
        <w:rPr>
          <w:rFonts w:cs="Times New Roman"/>
          <w:bCs/>
          <w:sz w:val="24"/>
          <w:szCs w:val="24"/>
        </w:rPr>
      </w:pPr>
      <w:r w:rsidRPr="008132E3">
        <w:rPr>
          <w:rFonts w:cs="Times New Roman"/>
          <w:bCs/>
          <w:sz w:val="24"/>
          <w:szCs w:val="24"/>
        </w:rPr>
        <w:t xml:space="preserve">This </w:t>
      </w:r>
      <w:r>
        <w:rPr>
          <w:rFonts w:cs="Times New Roman"/>
          <w:bCs/>
          <w:sz w:val="24"/>
          <w:szCs w:val="24"/>
        </w:rPr>
        <w:t>note</w:t>
      </w:r>
      <w:r w:rsidRPr="008132E3">
        <w:rPr>
          <w:rFonts w:cs="Times New Roman"/>
          <w:bCs/>
          <w:sz w:val="24"/>
          <w:szCs w:val="24"/>
        </w:rPr>
        <w:t xml:space="preserve"> will provide a background of the history of opioid use in the National Football League to understand </w:t>
      </w:r>
      <w:r>
        <w:rPr>
          <w:rFonts w:cs="Times New Roman"/>
          <w:bCs/>
          <w:sz w:val="24"/>
          <w:szCs w:val="24"/>
        </w:rPr>
        <w:t xml:space="preserve">better </w:t>
      </w:r>
      <w:r w:rsidRPr="008132E3">
        <w:rPr>
          <w:rFonts w:cs="Times New Roman"/>
          <w:bCs/>
          <w:sz w:val="24"/>
          <w:szCs w:val="24"/>
        </w:rPr>
        <w:t xml:space="preserve">the context of the issue, the legal discrepancies between </w:t>
      </w:r>
      <w:r>
        <w:rPr>
          <w:rFonts w:cs="Times New Roman"/>
          <w:bCs/>
          <w:sz w:val="24"/>
          <w:szCs w:val="24"/>
        </w:rPr>
        <w:t>the League</w:t>
      </w:r>
      <w:r w:rsidRPr="008132E3">
        <w:rPr>
          <w:rFonts w:cs="Times New Roman"/>
          <w:bCs/>
          <w:sz w:val="24"/>
          <w:szCs w:val="24"/>
        </w:rPr>
        <w:t xml:space="preserve"> office and players of </w:t>
      </w:r>
      <w:r>
        <w:rPr>
          <w:rFonts w:cs="Times New Roman"/>
          <w:bCs/>
          <w:sz w:val="24"/>
          <w:szCs w:val="24"/>
        </w:rPr>
        <w:t xml:space="preserve">determining </w:t>
      </w:r>
      <w:r w:rsidRPr="008132E3">
        <w:rPr>
          <w:rFonts w:cs="Times New Roman"/>
          <w:bCs/>
          <w:sz w:val="24"/>
          <w:szCs w:val="24"/>
        </w:rPr>
        <w:t xml:space="preserve">whether or not </w:t>
      </w:r>
      <w:r>
        <w:rPr>
          <w:rFonts w:cs="Times New Roman"/>
          <w:bCs/>
          <w:sz w:val="24"/>
          <w:szCs w:val="24"/>
        </w:rPr>
        <w:t>the League</w:t>
      </w:r>
      <w:r w:rsidRPr="008132E3">
        <w:rPr>
          <w:rFonts w:cs="Times New Roman"/>
          <w:bCs/>
          <w:sz w:val="24"/>
          <w:szCs w:val="24"/>
        </w:rPr>
        <w:t xml:space="preserve"> itself is liable for the negligent distribution of opioids to players and their reliance on the drugs, and what the most feasible solution to this issue is going forward when taking into account the most recent holding in </w:t>
      </w:r>
      <w:r w:rsidRPr="006C7B91">
        <w:rPr>
          <w:rFonts w:cs="Times New Roman"/>
          <w:bCs/>
          <w:i/>
          <w:iCs/>
          <w:sz w:val="24"/>
          <w:szCs w:val="24"/>
        </w:rPr>
        <w:t>Dent v.</w:t>
      </w:r>
      <w:r w:rsidRPr="00310C02">
        <w:rPr>
          <w:rFonts w:cs="Times New Roman"/>
          <w:bCs/>
          <w:i/>
          <w:iCs/>
          <w:sz w:val="24"/>
          <w:szCs w:val="24"/>
        </w:rPr>
        <w:t xml:space="preserve"> </w:t>
      </w:r>
      <w:proofErr w:type="spellStart"/>
      <w:r w:rsidR="00310C02" w:rsidRPr="00310C02">
        <w:rPr>
          <w:rFonts w:eastAsia="Times New Roman" w:cs="Times New Roman"/>
          <w:i/>
          <w:sz w:val="24"/>
          <w:szCs w:val="24"/>
          <w:lang w:eastAsia="zh-CN"/>
        </w:rPr>
        <w:t>Nat’l</w:t>
      </w:r>
      <w:proofErr w:type="spellEnd"/>
      <w:r w:rsidR="00310C02" w:rsidRPr="00310C02">
        <w:rPr>
          <w:rFonts w:eastAsia="Times New Roman" w:cs="Times New Roman"/>
          <w:i/>
          <w:sz w:val="24"/>
          <w:szCs w:val="24"/>
          <w:lang w:eastAsia="zh-CN"/>
        </w:rPr>
        <w:t xml:space="preserve"> Football League</w:t>
      </w:r>
      <w:r w:rsidRPr="008132E3">
        <w:rPr>
          <w:rFonts w:cs="Times New Roman"/>
          <w:bCs/>
          <w:sz w:val="24"/>
          <w:szCs w:val="24"/>
        </w:rPr>
        <w:t>.</w:t>
      </w:r>
      <w:r>
        <w:rPr>
          <w:rStyle w:val="FootnoteReference"/>
          <w:rFonts w:cs="Times New Roman"/>
          <w:bCs/>
          <w:sz w:val="24"/>
          <w:szCs w:val="24"/>
        </w:rPr>
        <w:footnoteReference w:id="19"/>
      </w:r>
      <w:r w:rsidRPr="008132E3">
        <w:rPr>
          <w:rFonts w:cs="Times New Roman"/>
          <w:bCs/>
          <w:sz w:val="24"/>
          <w:szCs w:val="24"/>
        </w:rPr>
        <w:t xml:space="preserve"> </w:t>
      </w:r>
    </w:p>
    <w:p w14:paraId="5BA1E7DC" w14:textId="65CA303D" w:rsidR="005B4449" w:rsidRPr="00E4293A" w:rsidRDefault="005B4449" w:rsidP="00E4293A">
      <w:pPr>
        <w:spacing w:before="100" w:beforeAutospacing="1" w:after="100" w:afterAutospacing="1"/>
        <w:ind w:firstLine="720"/>
        <w:contextualSpacing/>
        <w:jc w:val="both"/>
        <w:rPr>
          <w:rFonts w:cs="Times New Roman"/>
          <w:bCs/>
          <w:sz w:val="24"/>
          <w:szCs w:val="24"/>
        </w:rPr>
      </w:pPr>
      <w:r w:rsidRPr="008132E3">
        <w:rPr>
          <w:rFonts w:cs="Times New Roman"/>
          <w:bCs/>
          <w:sz w:val="24"/>
          <w:szCs w:val="24"/>
        </w:rPr>
        <w:t>Based on current precedent</w:t>
      </w:r>
      <w:r>
        <w:rPr>
          <w:rFonts w:cs="Times New Roman"/>
          <w:bCs/>
          <w:sz w:val="24"/>
          <w:szCs w:val="24"/>
        </w:rPr>
        <w:t xml:space="preserve">, </w:t>
      </w:r>
      <w:r w:rsidRPr="008132E3">
        <w:rPr>
          <w:rFonts w:cs="Times New Roman"/>
          <w:bCs/>
          <w:sz w:val="24"/>
          <w:szCs w:val="24"/>
        </w:rPr>
        <w:t xml:space="preserve">legal relief is not a viable solution to remedy the </w:t>
      </w:r>
      <w:r>
        <w:rPr>
          <w:rFonts w:cs="Times New Roman"/>
          <w:bCs/>
          <w:sz w:val="24"/>
          <w:szCs w:val="24"/>
        </w:rPr>
        <w:t xml:space="preserve">NFL’s </w:t>
      </w:r>
      <w:r w:rsidRPr="008132E3">
        <w:rPr>
          <w:rFonts w:cs="Times New Roman"/>
          <w:bCs/>
          <w:sz w:val="24"/>
          <w:szCs w:val="24"/>
        </w:rPr>
        <w:t>ongoing substance abuse issues. However, the long-term safety of current and future football players</w:t>
      </w:r>
      <w:r>
        <w:rPr>
          <w:rFonts w:cs="Times New Roman"/>
          <w:bCs/>
          <w:sz w:val="24"/>
          <w:szCs w:val="24"/>
        </w:rPr>
        <w:t>,</w:t>
      </w:r>
      <w:r w:rsidRPr="008132E3">
        <w:rPr>
          <w:rFonts w:cs="Times New Roman"/>
          <w:bCs/>
          <w:sz w:val="24"/>
          <w:szCs w:val="24"/>
        </w:rPr>
        <w:t xml:space="preserve"> as well as the integrity of the sport</w:t>
      </w:r>
      <w:r>
        <w:rPr>
          <w:rFonts w:cs="Times New Roman"/>
          <w:bCs/>
          <w:sz w:val="24"/>
          <w:szCs w:val="24"/>
        </w:rPr>
        <w:t>,</w:t>
      </w:r>
      <w:r w:rsidRPr="008132E3">
        <w:rPr>
          <w:rFonts w:cs="Times New Roman"/>
          <w:bCs/>
          <w:sz w:val="24"/>
          <w:szCs w:val="24"/>
        </w:rPr>
        <w:t xml:space="preserve"> can be saved if instead of res</w:t>
      </w:r>
      <w:r>
        <w:rPr>
          <w:rFonts w:cs="Times New Roman"/>
          <w:bCs/>
          <w:sz w:val="24"/>
          <w:szCs w:val="24"/>
        </w:rPr>
        <w:t>orting</w:t>
      </w:r>
      <w:r w:rsidRPr="008132E3">
        <w:rPr>
          <w:rFonts w:cs="Times New Roman"/>
          <w:bCs/>
          <w:sz w:val="24"/>
          <w:szCs w:val="24"/>
        </w:rPr>
        <w:t xml:space="preserve"> to the court</w:t>
      </w:r>
      <w:r>
        <w:rPr>
          <w:rFonts w:cs="Times New Roman"/>
          <w:bCs/>
          <w:sz w:val="24"/>
          <w:szCs w:val="24"/>
        </w:rPr>
        <w:t>s</w:t>
      </w:r>
      <w:r w:rsidRPr="008132E3">
        <w:rPr>
          <w:rFonts w:cs="Times New Roman"/>
          <w:bCs/>
          <w:sz w:val="24"/>
          <w:szCs w:val="24"/>
        </w:rPr>
        <w:t>, the players take this battle to state and federal legislatures while simultaneously promoting cultural awareness of the dangers that these prescription practices p</w:t>
      </w:r>
      <w:r>
        <w:rPr>
          <w:rFonts w:cs="Times New Roman"/>
          <w:bCs/>
          <w:sz w:val="24"/>
          <w:szCs w:val="24"/>
        </w:rPr>
        <w:t>ose</w:t>
      </w:r>
      <w:r w:rsidRPr="008132E3">
        <w:rPr>
          <w:rFonts w:cs="Times New Roman"/>
          <w:bCs/>
          <w:sz w:val="24"/>
          <w:szCs w:val="24"/>
        </w:rPr>
        <w:t xml:space="preserve"> to past, </w:t>
      </w:r>
      <w:r>
        <w:rPr>
          <w:rFonts w:cs="Times New Roman"/>
          <w:bCs/>
          <w:sz w:val="24"/>
          <w:szCs w:val="24"/>
        </w:rPr>
        <w:t>current,</w:t>
      </w:r>
      <w:r w:rsidRPr="008132E3">
        <w:rPr>
          <w:rFonts w:cs="Times New Roman"/>
          <w:bCs/>
          <w:sz w:val="24"/>
          <w:szCs w:val="24"/>
        </w:rPr>
        <w:t xml:space="preserve"> and future football players. Part </w:t>
      </w:r>
      <w:r>
        <w:rPr>
          <w:rFonts w:cs="Times New Roman"/>
          <w:bCs/>
          <w:sz w:val="24"/>
          <w:szCs w:val="24"/>
        </w:rPr>
        <w:t>II</w:t>
      </w:r>
      <w:r w:rsidRPr="008132E3">
        <w:rPr>
          <w:rFonts w:cs="Times New Roman"/>
          <w:bCs/>
          <w:sz w:val="24"/>
          <w:szCs w:val="24"/>
        </w:rPr>
        <w:t xml:space="preserve"> of this note will examine the relevant legal and procedural history of opioid</w:t>
      </w:r>
      <w:r>
        <w:rPr>
          <w:rFonts w:cs="Times New Roman"/>
          <w:bCs/>
          <w:sz w:val="24"/>
          <w:szCs w:val="24"/>
        </w:rPr>
        <w:t>-</w:t>
      </w:r>
      <w:r w:rsidRPr="008132E3">
        <w:rPr>
          <w:rFonts w:cs="Times New Roman"/>
          <w:bCs/>
          <w:sz w:val="24"/>
          <w:szCs w:val="24"/>
        </w:rPr>
        <w:t>related lawsuits that have been filed against the NFL and its franchises. Part II</w:t>
      </w:r>
      <w:r>
        <w:rPr>
          <w:rFonts w:cs="Times New Roman"/>
          <w:bCs/>
          <w:sz w:val="24"/>
          <w:szCs w:val="24"/>
        </w:rPr>
        <w:t>I</w:t>
      </w:r>
      <w:r w:rsidRPr="008132E3">
        <w:rPr>
          <w:rFonts w:cs="Times New Roman"/>
          <w:bCs/>
          <w:sz w:val="24"/>
          <w:szCs w:val="24"/>
        </w:rPr>
        <w:t xml:space="preserve"> will discuss why legal relief is not a viable form of relief for past, current</w:t>
      </w:r>
      <w:r>
        <w:rPr>
          <w:rFonts w:cs="Times New Roman"/>
          <w:bCs/>
          <w:sz w:val="24"/>
          <w:szCs w:val="24"/>
        </w:rPr>
        <w:t>,</w:t>
      </w:r>
      <w:r w:rsidRPr="008132E3">
        <w:rPr>
          <w:rFonts w:cs="Times New Roman"/>
          <w:bCs/>
          <w:sz w:val="24"/>
          <w:szCs w:val="24"/>
        </w:rPr>
        <w:t xml:space="preserve"> and future NFL players under the current precedent </w:t>
      </w:r>
      <w:r>
        <w:rPr>
          <w:rFonts w:cs="Times New Roman"/>
          <w:bCs/>
          <w:sz w:val="24"/>
          <w:szCs w:val="24"/>
        </w:rPr>
        <w:t>on</w:t>
      </w:r>
      <w:r w:rsidRPr="008132E3">
        <w:rPr>
          <w:rFonts w:cs="Times New Roman"/>
          <w:bCs/>
          <w:sz w:val="24"/>
          <w:szCs w:val="24"/>
        </w:rPr>
        <w:t xml:space="preserve"> the NFL’s role in administering painkillers. Lastly, Part I</w:t>
      </w:r>
      <w:r>
        <w:rPr>
          <w:rFonts w:cs="Times New Roman"/>
          <w:bCs/>
          <w:sz w:val="24"/>
          <w:szCs w:val="24"/>
        </w:rPr>
        <w:t>V</w:t>
      </w:r>
      <w:r w:rsidRPr="008132E3">
        <w:rPr>
          <w:rFonts w:cs="Times New Roman"/>
          <w:bCs/>
          <w:sz w:val="24"/>
          <w:szCs w:val="24"/>
        </w:rPr>
        <w:t xml:space="preserve"> of this article will examine why legislative action and cultural awareness is the best </w:t>
      </w:r>
      <w:r w:rsidRPr="008132E3">
        <w:rPr>
          <w:rFonts w:cs="Times New Roman"/>
          <w:bCs/>
          <w:sz w:val="24"/>
          <w:szCs w:val="24"/>
        </w:rPr>
        <w:lastRenderedPageBreak/>
        <w:t xml:space="preserve">possible course of action to achieve meaningful results </w:t>
      </w:r>
      <w:proofErr w:type="gramStart"/>
      <w:r w:rsidRPr="008132E3">
        <w:rPr>
          <w:rFonts w:cs="Times New Roman"/>
          <w:bCs/>
          <w:sz w:val="24"/>
          <w:szCs w:val="24"/>
        </w:rPr>
        <w:t>in an attempt to</w:t>
      </w:r>
      <w:proofErr w:type="gramEnd"/>
      <w:r w:rsidRPr="008132E3">
        <w:rPr>
          <w:rFonts w:cs="Times New Roman"/>
          <w:bCs/>
          <w:sz w:val="24"/>
          <w:szCs w:val="24"/>
        </w:rPr>
        <w:t xml:space="preserve"> bring this epidemic to a halt. </w:t>
      </w:r>
    </w:p>
    <w:p w14:paraId="1055D92F" w14:textId="05066707" w:rsidR="005B4449" w:rsidRPr="005C6C3F" w:rsidRDefault="005B4449" w:rsidP="006343B2">
      <w:pPr>
        <w:pStyle w:val="ListParagraph"/>
        <w:numPr>
          <w:ilvl w:val="0"/>
          <w:numId w:val="6"/>
        </w:numPr>
        <w:spacing w:before="100" w:beforeAutospacing="1" w:after="100" w:afterAutospacing="1"/>
        <w:ind w:left="0" w:firstLine="0"/>
        <w:jc w:val="center"/>
        <w:rPr>
          <w:rFonts w:cs="Times New Roman"/>
          <w:smallCaps/>
          <w:sz w:val="24"/>
          <w:szCs w:val="24"/>
        </w:rPr>
      </w:pPr>
      <w:r w:rsidRPr="005C6C3F">
        <w:rPr>
          <w:b/>
          <w:bCs/>
          <w:smallCaps/>
          <w:sz w:val="24"/>
          <w:szCs w:val="24"/>
        </w:rPr>
        <w:t>Legal and Procedural Posture Relating to Opioid Abuse in the NFL</w:t>
      </w:r>
    </w:p>
    <w:p w14:paraId="57145DE5" w14:textId="66AB3E57" w:rsidR="005B4449" w:rsidRDefault="005B4449" w:rsidP="00E021FB">
      <w:pPr>
        <w:pStyle w:val="NormalWeb"/>
        <w:ind w:firstLine="720"/>
        <w:contextualSpacing/>
        <w:jc w:val="both"/>
        <w:textAlignment w:val="baseline"/>
        <w:rPr>
          <w:color w:val="000000" w:themeColor="text1"/>
          <w:sz w:val="24"/>
          <w:szCs w:val="24"/>
        </w:rPr>
      </w:pPr>
      <w:r w:rsidRPr="008132E3">
        <w:rPr>
          <w:color w:val="000000" w:themeColor="text1"/>
          <w:sz w:val="24"/>
          <w:szCs w:val="24"/>
        </w:rPr>
        <w:t xml:space="preserve">There have been two </w:t>
      </w:r>
      <w:r>
        <w:rPr>
          <w:color w:val="000000" w:themeColor="text1"/>
          <w:sz w:val="24"/>
          <w:szCs w:val="24"/>
        </w:rPr>
        <w:t>significant</w:t>
      </w:r>
      <w:r w:rsidRPr="008132E3">
        <w:rPr>
          <w:color w:val="000000" w:themeColor="text1"/>
          <w:sz w:val="24"/>
          <w:szCs w:val="24"/>
        </w:rPr>
        <w:t xml:space="preserve"> lawsuits filed </w:t>
      </w:r>
      <w:r>
        <w:rPr>
          <w:color w:val="000000" w:themeColor="text1"/>
          <w:sz w:val="24"/>
          <w:szCs w:val="24"/>
        </w:rPr>
        <w:t>which involve</w:t>
      </w:r>
      <w:r w:rsidRPr="008132E3">
        <w:rPr>
          <w:color w:val="000000" w:themeColor="text1"/>
          <w:sz w:val="24"/>
          <w:szCs w:val="24"/>
        </w:rPr>
        <w:t xml:space="preserve"> former players suing the National Football League asserting that </w:t>
      </w:r>
      <w:r>
        <w:rPr>
          <w:color w:val="000000" w:themeColor="text1"/>
          <w:sz w:val="24"/>
          <w:szCs w:val="24"/>
        </w:rPr>
        <w:t>the League</w:t>
      </w:r>
      <w:r w:rsidRPr="008132E3">
        <w:rPr>
          <w:color w:val="000000" w:themeColor="text1"/>
          <w:sz w:val="24"/>
          <w:szCs w:val="24"/>
        </w:rPr>
        <w:t xml:space="preserve"> was liable for negligently distributing opioids to its players. These cases are </w:t>
      </w:r>
      <w:r w:rsidRPr="006C7B91">
        <w:rPr>
          <w:i/>
          <w:iCs/>
          <w:color w:val="000000" w:themeColor="text1"/>
          <w:sz w:val="24"/>
          <w:szCs w:val="24"/>
        </w:rPr>
        <w:t xml:space="preserve">Dent v. </w:t>
      </w:r>
      <w:proofErr w:type="spellStart"/>
      <w:r w:rsidRPr="006C7B91">
        <w:rPr>
          <w:i/>
          <w:iCs/>
          <w:color w:val="000000" w:themeColor="text1"/>
          <w:sz w:val="24"/>
          <w:szCs w:val="24"/>
        </w:rPr>
        <w:t>N</w:t>
      </w:r>
      <w:r w:rsidR="006343B2">
        <w:rPr>
          <w:i/>
          <w:iCs/>
          <w:color w:val="000000" w:themeColor="text1"/>
          <w:sz w:val="24"/>
          <w:szCs w:val="24"/>
        </w:rPr>
        <w:t>at’l</w:t>
      </w:r>
      <w:proofErr w:type="spellEnd"/>
      <w:r w:rsidR="006343B2">
        <w:rPr>
          <w:i/>
          <w:iCs/>
          <w:color w:val="000000" w:themeColor="text1"/>
          <w:sz w:val="24"/>
          <w:szCs w:val="24"/>
        </w:rPr>
        <w:t xml:space="preserve"> </w:t>
      </w:r>
      <w:r w:rsidRPr="006C7B91">
        <w:rPr>
          <w:i/>
          <w:iCs/>
          <w:color w:val="000000" w:themeColor="text1"/>
          <w:sz w:val="24"/>
          <w:szCs w:val="24"/>
        </w:rPr>
        <w:t>F</w:t>
      </w:r>
      <w:r w:rsidR="006343B2">
        <w:rPr>
          <w:i/>
          <w:iCs/>
          <w:color w:val="000000" w:themeColor="text1"/>
          <w:sz w:val="24"/>
          <w:szCs w:val="24"/>
        </w:rPr>
        <w:t xml:space="preserve">ootball </w:t>
      </w:r>
      <w:r w:rsidRPr="006C7B91">
        <w:rPr>
          <w:i/>
          <w:iCs/>
          <w:color w:val="000000" w:themeColor="text1"/>
          <w:sz w:val="24"/>
          <w:szCs w:val="24"/>
        </w:rPr>
        <w:t>L</w:t>
      </w:r>
      <w:r w:rsidR="006343B2">
        <w:rPr>
          <w:i/>
          <w:iCs/>
          <w:color w:val="000000" w:themeColor="text1"/>
          <w:sz w:val="24"/>
          <w:szCs w:val="24"/>
        </w:rPr>
        <w:t>eague</w:t>
      </w:r>
      <w:r w:rsidRPr="008132E3">
        <w:rPr>
          <w:color w:val="000000" w:themeColor="text1"/>
          <w:sz w:val="24"/>
          <w:szCs w:val="24"/>
        </w:rPr>
        <w:t xml:space="preserve"> and </w:t>
      </w:r>
      <w:r w:rsidRPr="006C7B91">
        <w:rPr>
          <w:i/>
          <w:iCs/>
          <w:color w:val="000000" w:themeColor="text1"/>
          <w:sz w:val="24"/>
          <w:szCs w:val="24"/>
        </w:rPr>
        <w:t>Evans v. Arizona Cardinals</w:t>
      </w:r>
      <w:r w:rsidRPr="008132E3">
        <w:rPr>
          <w:color w:val="000000" w:themeColor="text1"/>
          <w:sz w:val="24"/>
          <w:szCs w:val="24"/>
        </w:rPr>
        <w:t>.</w:t>
      </w:r>
      <w:r>
        <w:rPr>
          <w:rStyle w:val="FootnoteReference"/>
          <w:color w:val="000000" w:themeColor="text1"/>
          <w:sz w:val="24"/>
          <w:szCs w:val="24"/>
        </w:rPr>
        <w:footnoteReference w:id="20"/>
      </w:r>
      <w:r w:rsidRPr="008132E3">
        <w:rPr>
          <w:color w:val="000000" w:themeColor="text1"/>
          <w:sz w:val="24"/>
          <w:szCs w:val="24"/>
        </w:rPr>
        <w:t xml:space="preserve"> These two lines of cases both involve state law claims by former players asserting that the NFL has violated various California Statutes relating to the issuance of prescription drugs.</w:t>
      </w:r>
      <w:r>
        <w:rPr>
          <w:rStyle w:val="FootnoteReference"/>
          <w:color w:val="000000" w:themeColor="text1"/>
          <w:sz w:val="24"/>
          <w:szCs w:val="24"/>
        </w:rPr>
        <w:footnoteReference w:id="21"/>
      </w:r>
      <w:r w:rsidRPr="008132E3">
        <w:rPr>
          <w:color w:val="000000" w:themeColor="text1"/>
          <w:sz w:val="24"/>
          <w:szCs w:val="24"/>
        </w:rPr>
        <w:t xml:space="preserve"> A major focal point of both of these cases involve</w:t>
      </w:r>
      <w:r>
        <w:rPr>
          <w:color w:val="000000" w:themeColor="text1"/>
          <w:sz w:val="24"/>
          <w:szCs w:val="24"/>
        </w:rPr>
        <w:t>s</w:t>
      </w:r>
      <w:r w:rsidRPr="008132E3">
        <w:rPr>
          <w:color w:val="000000" w:themeColor="text1"/>
          <w:sz w:val="24"/>
          <w:szCs w:val="24"/>
        </w:rPr>
        <w:t xml:space="preserve"> whether these claims by the players are preempted by </w:t>
      </w:r>
      <w:r w:rsidR="00A175D2">
        <w:rPr>
          <w:color w:val="000000" w:themeColor="text1"/>
          <w:sz w:val="24"/>
          <w:szCs w:val="24"/>
        </w:rPr>
        <w:t>Section 301</w:t>
      </w:r>
      <w:r w:rsidRPr="008132E3">
        <w:rPr>
          <w:color w:val="000000" w:themeColor="text1"/>
          <w:sz w:val="24"/>
          <w:szCs w:val="24"/>
        </w:rPr>
        <w:t xml:space="preserve"> of the Labor Management Relations Act.</w:t>
      </w:r>
      <w:r>
        <w:rPr>
          <w:rStyle w:val="FootnoteReference"/>
          <w:color w:val="000000" w:themeColor="text1"/>
          <w:sz w:val="24"/>
          <w:szCs w:val="24"/>
        </w:rPr>
        <w:footnoteReference w:id="22"/>
      </w:r>
      <w:r w:rsidRPr="008132E3">
        <w:rPr>
          <w:color w:val="000000" w:themeColor="text1"/>
          <w:sz w:val="24"/>
          <w:szCs w:val="24"/>
        </w:rPr>
        <w:t xml:space="preserve"> Before going into</w:t>
      </w:r>
      <w:r>
        <w:rPr>
          <w:color w:val="000000" w:themeColor="text1"/>
          <w:sz w:val="24"/>
          <w:szCs w:val="24"/>
        </w:rPr>
        <w:t xml:space="preserve"> a</w:t>
      </w:r>
      <w:r w:rsidRPr="008132E3">
        <w:rPr>
          <w:color w:val="000000" w:themeColor="text1"/>
          <w:sz w:val="24"/>
          <w:szCs w:val="24"/>
        </w:rPr>
        <w:t xml:space="preserve"> discussion of the relevant cases, it is </w:t>
      </w:r>
      <w:r>
        <w:rPr>
          <w:color w:val="000000" w:themeColor="text1"/>
          <w:sz w:val="24"/>
          <w:szCs w:val="24"/>
        </w:rPr>
        <w:t>essential</w:t>
      </w:r>
      <w:r w:rsidRPr="008132E3">
        <w:rPr>
          <w:color w:val="000000" w:themeColor="text1"/>
          <w:sz w:val="24"/>
          <w:szCs w:val="24"/>
        </w:rPr>
        <w:t xml:space="preserve"> to understand what the Labor Management Relations Act is and </w:t>
      </w:r>
      <w:r>
        <w:rPr>
          <w:color w:val="000000" w:themeColor="text1"/>
          <w:sz w:val="24"/>
          <w:szCs w:val="24"/>
        </w:rPr>
        <w:t>precisely</w:t>
      </w:r>
      <w:r w:rsidRPr="008132E3">
        <w:rPr>
          <w:color w:val="000000" w:themeColor="text1"/>
          <w:sz w:val="24"/>
          <w:szCs w:val="24"/>
        </w:rPr>
        <w:t xml:space="preserve"> why the preemption aspect of this federal legislation comes into play. </w:t>
      </w:r>
    </w:p>
    <w:p w14:paraId="347AA732" w14:textId="77777777" w:rsidR="005B4449" w:rsidRPr="008132E3" w:rsidRDefault="005B4449" w:rsidP="00E021FB">
      <w:pPr>
        <w:pStyle w:val="NormalWeb"/>
        <w:ind w:firstLine="720"/>
        <w:contextualSpacing/>
        <w:jc w:val="both"/>
        <w:textAlignment w:val="baseline"/>
        <w:rPr>
          <w:color w:val="000000" w:themeColor="text1"/>
          <w:sz w:val="24"/>
          <w:szCs w:val="24"/>
        </w:rPr>
      </w:pPr>
    </w:p>
    <w:p w14:paraId="43630869" w14:textId="66E0D660" w:rsidR="005B4449" w:rsidRPr="005C6C3F" w:rsidRDefault="005B4449" w:rsidP="00E4293A">
      <w:pPr>
        <w:pStyle w:val="NormalWeb"/>
        <w:numPr>
          <w:ilvl w:val="1"/>
          <w:numId w:val="18"/>
        </w:numPr>
        <w:ind w:left="360" w:firstLine="720"/>
        <w:contextualSpacing/>
        <w:jc w:val="both"/>
        <w:textAlignment w:val="baseline"/>
        <w:rPr>
          <w:b/>
          <w:bCs/>
          <w:smallCaps/>
          <w:color w:val="000000" w:themeColor="text1"/>
          <w:sz w:val="24"/>
          <w:szCs w:val="24"/>
        </w:rPr>
      </w:pPr>
      <w:r w:rsidRPr="005C6C3F">
        <w:rPr>
          <w:b/>
          <w:bCs/>
          <w:smallCaps/>
          <w:color w:val="000000" w:themeColor="text1"/>
          <w:sz w:val="24"/>
          <w:szCs w:val="24"/>
        </w:rPr>
        <w:t xml:space="preserve">Labor Management Relations Act </w:t>
      </w:r>
    </w:p>
    <w:p w14:paraId="5A8CFE9C" w14:textId="77777777" w:rsidR="005B4449" w:rsidRPr="00B6609A" w:rsidRDefault="005B4449" w:rsidP="00E021FB">
      <w:pPr>
        <w:pStyle w:val="NormalWeb"/>
        <w:ind w:left="720" w:firstLine="720"/>
        <w:contextualSpacing/>
        <w:jc w:val="both"/>
        <w:textAlignment w:val="baseline"/>
        <w:rPr>
          <w:b/>
          <w:bCs/>
          <w:color w:val="000000" w:themeColor="text1"/>
          <w:sz w:val="24"/>
          <w:szCs w:val="24"/>
        </w:rPr>
      </w:pPr>
    </w:p>
    <w:p w14:paraId="49468567" w14:textId="0F29DDCA" w:rsidR="005B4449" w:rsidRPr="008132E3" w:rsidRDefault="00A175D2" w:rsidP="00E021FB">
      <w:pPr>
        <w:pStyle w:val="NormalWeb"/>
        <w:ind w:firstLine="720"/>
        <w:contextualSpacing/>
        <w:jc w:val="both"/>
        <w:textAlignment w:val="baseline"/>
        <w:rPr>
          <w:color w:val="000000" w:themeColor="text1"/>
          <w:sz w:val="24"/>
          <w:szCs w:val="24"/>
        </w:rPr>
      </w:pPr>
      <w:r>
        <w:rPr>
          <w:color w:val="000000" w:themeColor="text1"/>
          <w:sz w:val="24"/>
          <w:szCs w:val="24"/>
        </w:rPr>
        <w:t>Section 301</w:t>
      </w:r>
      <w:r w:rsidR="005B4449" w:rsidRPr="008132E3">
        <w:rPr>
          <w:color w:val="000000" w:themeColor="text1"/>
          <w:sz w:val="24"/>
          <w:szCs w:val="24"/>
        </w:rPr>
        <w:t xml:space="preserve"> of the Labor Management Relations Act (</w:t>
      </w:r>
      <w:r w:rsidR="001A0050">
        <w:rPr>
          <w:color w:val="000000" w:themeColor="text1"/>
          <w:sz w:val="24"/>
          <w:szCs w:val="24"/>
        </w:rPr>
        <w:t>“</w:t>
      </w:r>
      <w:r w:rsidR="005B4449" w:rsidRPr="008132E3">
        <w:rPr>
          <w:color w:val="000000" w:themeColor="text1"/>
          <w:sz w:val="24"/>
          <w:szCs w:val="24"/>
        </w:rPr>
        <w:t>LMRA</w:t>
      </w:r>
      <w:r w:rsidR="001A0050">
        <w:rPr>
          <w:color w:val="000000" w:themeColor="text1"/>
          <w:sz w:val="24"/>
          <w:szCs w:val="24"/>
        </w:rPr>
        <w:t>”</w:t>
      </w:r>
      <w:r w:rsidR="005B4449" w:rsidRPr="008132E3">
        <w:rPr>
          <w:color w:val="000000" w:themeColor="text1"/>
          <w:sz w:val="24"/>
          <w:szCs w:val="24"/>
        </w:rPr>
        <w:t>) on its face provides federal jurisdiction over disputes regarding collective bargaining agreements (</w:t>
      </w:r>
      <w:r w:rsidR="001A0050">
        <w:rPr>
          <w:color w:val="000000" w:themeColor="text1"/>
          <w:sz w:val="24"/>
          <w:szCs w:val="24"/>
        </w:rPr>
        <w:t>“</w:t>
      </w:r>
      <w:r w:rsidR="005B4449" w:rsidRPr="008132E3">
        <w:rPr>
          <w:color w:val="000000" w:themeColor="text1"/>
          <w:sz w:val="24"/>
          <w:szCs w:val="24"/>
        </w:rPr>
        <w:t>CBA</w:t>
      </w:r>
      <w:r w:rsidR="001A0050">
        <w:rPr>
          <w:color w:val="000000" w:themeColor="text1"/>
          <w:sz w:val="24"/>
          <w:szCs w:val="24"/>
        </w:rPr>
        <w:t>”</w:t>
      </w:r>
      <w:r w:rsidR="005B4449" w:rsidRPr="008132E3">
        <w:rPr>
          <w:color w:val="000000" w:themeColor="text1"/>
          <w:sz w:val="24"/>
          <w:szCs w:val="24"/>
        </w:rPr>
        <w:t>).</w:t>
      </w:r>
      <w:r w:rsidR="005B4449">
        <w:rPr>
          <w:rStyle w:val="FootnoteReference"/>
          <w:color w:val="000000" w:themeColor="text1"/>
          <w:sz w:val="24"/>
          <w:szCs w:val="24"/>
        </w:rPr>
        <w:footnoteReference w:id="23"/>
      </w:r>
      <w:r w:rsidR="005B4449" w:rsidRPr="008132E3">
        <w:rPr>
          <w:color w:val="000000" w:themeColor="text1"/>
          <w:sz w:val="24"/>
          <w:szCs w:val="24"/>
        </w:rPr>
        <w:t xml:space="preserve"> </w:t>
      </w:r>
      <w:r w:rsidR="001A0050">
        <w:rPr>
          <w:color w:val="000000" w:themeColor="text1"/>
          <w:sz w:val="24"/>
          <w:szCs w:val="24"/>
        </w:rPr>
        <w:t>CBAs</w:t>
      </w:r>
      <w:r w:rsidR="005B4449" w:rsidRPr="008132E3">
        <w:rPr>
          <w:color w:val="000000" w:themeColor="text1"/>
          <w:sz w:val="24"/>
          <w:szCs w:val="24"/>
        </w:rPr>
        <w:t xml:space="preserve"> are legal contracts between an employer and a union representing the employees.</w:t>
      </w:r>
      <w:r w:rsidR="005B4449">
        <w:rPr>
          <w:rStyle w:val="FootnoteReference"/>
          <w:color w:val="000000" w:themeColor="text1"/>
          <w:sz w:val="24"/>
          <w:szCs w:val="24"/>
        </w:rPr>
        <w:footnoteReference w:id="24"/>
      </w:r>
      <w:r w:rsidR="005B4449" w:rsidRPr="008132E3">
        <w:rPr>
          <w:color w:val="000000" w:themeColor="text1"/>
          <w:sz w:val="24"/>
          <w:szCs w:val="24"/>
        </w:rPr>
        <w:t xml:space="preserve"> The CBA is the result of negotiations between the employer and union regarding various topics such as wages, hours, and employment</w:t>
      </w:r>
      <w:r w:rsidR="005B4449">
        <w:rPr>
          <w:color w:val="000000" w:themeColor="text1"/>
          <w:sz w:val="24"/>
          <w:szCs w:val="24"/>
        </w:rPr>
        <w:t xml:space="preserve"> conditions</w:t>
      </w:r>
      <w:r w:rsidR="005B4449" w:rsidRPr="008132E3">
        <w:rPr>
          <w:color w:val="000000" w:themeColor="text1"/>
          <w:sz w:val="24"/>
          <w:szCs w:val="24"/>
        </w:rPr>
        <w:t>.</w:t>
      </w:r>
      <w:r w:rsidR="005B4449">
        <w:rPr>
          <w:rStyle w:val="FootnoteReference"/>
          <w:color w:val="000000" w:themeColor="text1"/>
          <w:sz w:val="24"/>
          <w:szCs w:val="24"/>
        </w:rPr>
        <w:footnoteReference w:id="25"/>
      </w:r>
      <w:r w:rsidR="005B4449" w:rsidRPr="008132E3">
        <w:rPr>
          <w:color w:val="000000" w:themeColor="text1"/>
          <w:sz w:val="24"/>
          <w:szCs w:val="24"/>
        </w:rPr>
        <w:t xml:space="preserve"> In interpreting the LMRA, the Supreme Court has concluded that when a suit stating a claim under </w:t>
      </w:r>
      <w:r>
        <w:rPr>
          <w:color w:val="000000" w:themeColor="text1"/>
          <w:sz w:val="24"/>
          <w:szCs w:val="24"/>
        </w:rPr>
        <w:t>Section 301</w:t>
      </w:r>
      <w:r w:rsidR="005B4449" w:rsidRPr="008132E3">
        <w:rPr>
          <w:color w:val="000000" w:themeColor="text1"/>
          <w:sz w:val="24"/>
          <w:szCs w:val="24"/>
        </w:rPr>
        <w:t xml:space="preserve"> is brought, the CBA is interpreted under federal common law and state law claim</w:t>
      </w:r>
      <w:r w:rsidR="005B4449">
        <w:rPr>
          <w:color w:val="000000" w:themeColor="text1"/>
          <w:sz w:val="24"/>
          <w:szCs w:val="24"/>
        </w:rPr>
        <w:t>s</w:t>
      </w:r>
      <w:r w:rsidR="005B4449" w:rsidRPr="008132E3">
        <w:rPr>
          <w:color w:val="000000" w:themeColor="text1"/>
          <w:sz w:val="24"/>
          <w:szCs w:val="24"/>
        </w:rPr>
        <w:t xml:space="preserve"> </w:t>
      </w:r>
      <w:r w:rsidR="005B4449">
        <w:rPr>
          <w:color w:val="000000" w:themeColor="text1"/>
          <w:sz w:val="24"/>
          <w:szCs w:val="24"/>
        </w:rPr>
        <w:t>are</w:t>
      </w:r>
      <w:r w:rsidR="005B4449" w:rsidRPr="008132E3">
        <w:rPr>
          <w:color w:val="000000" w:themeColor="text1"/>
          <w:sz w:val="24"/>
          <w:szCs w:val="24"/>
        </w:rPr>
        <w:t xml:space="preserve"> preempted.</w:t>
      </w:r>
      <w:r w:rsidR="005B4449">
        <w:rPr>
          <w:rStyle w:val="FootnoteReference"/>
          <w:color w:val="000000" w:themeColor="text1"/>
          <w:sz w:val="24"/>
          <w:szCs w:val="24"/>
        </w:rPr>
        <w:footnoteReference w:id="26"/>
      </w:r>
      <w:r w:rsidR="005B4449" w:rsidRPr="008132E3">
        <w:rPr>
          <w:color w:val="000000" w:themeColor="text1"/>
          <w:sz w:val="24"/>
          <w:szCs w:val="24"/>
        </w:rPr>
        <w:t xml:space="preserve"> T</w:t>
      </w:r>
      <w:r w:rsidR="005B4449">
        <w:rPr>
          <w:color w:val="000000" w:themeColor="text1"/>
          <w:sz w:val="24"/>
          <w:szCs w:val="24"/>
        </w:rPr>
        <w:t xml:space="preserve">his </w:t>
      </w:r>
      <w:r w:rsidR="005B4449" w:rsidRPr="008132E3">
        <w:rPr>
          <w:color w:val="000000" w:themeColor="text1"/>
          <w:sz w:val="24"/>
          <w:szCs w:val="24"/>
        </w:rPr>
        <w:t xml:space="preserve">is to allow parties who are drafting and agreeing on CBAs to have a reliable </w:t>
      </w:r>
      <w:r w:rsidR="005B4449" w:rsidRPr="008132E3">
        <w:rPr>
          <w:color w:val="000000" w:themeColor="text1"/>
          <w:sz w:val="24"/>
          <w:szCs w:val="24"/>
        </w:rPr>
        <w:lastRenderedPageBreak/>
        <w:t>view o</w:t>
      </w:r>
      <w:r w:rsidR="005B4449">
        <w:rPr>
          <w:color w:val="000000" w:themeColor="text1"/>
          <w:sz w:val="24"/>
          <w:szCs w:val="24"/>
        </w:rPr>
        <w:t>f</w:t>
      </w:r>
      <w:r w:rsidR="005B4449" w:rsidRPr="008132E3">
        <w:rPr>
          <w:color w:val="000000" w:themeColor="text1"/>
          <w:sz w:val="24"/>
          <w:szCs w:val="24"/>
        </w:rPr>
        <w:t xml:space="preserve"> the way that the CBA will be interpre</w:t>
      </w:r>
      <w:r w:rsidR="00E4293A">
        <w:rPr>
          <w:color w:val="000000" w:themeColor="text1"/>
          <w:sz w:val="24"/>
          <w:szCs w:val="24"/>
        </w:rPr>
        <w:t>ted and ruled on by the courts.</w:t>
      </w:r>
      <w:r w:rsidR="005B4449">
        <w:rPr>
          <w:rStyle w:val="FootnoteReference"/>
          <w:color w:val="000000" w:themeColor="text1"/>
          <w:sz w:val="24"/>
          <w:szCs w:val="24"/>
        </w:rPr>
        <w:footnoteReference w:id="27"/>
      </w:r>
    </w:p>
    <w:p w14:paraId="3178916B" w14:textId="52D3D79A" w:rsidR="005B4449" w:rsidRDefault="005B4449" w:rsidP="00E021FB">
      <w:pPr>
        <w:pStyle w:val="NormalWeb"/>
        <w:ind w:firstLine="720"/>
        <w:contextualSpacing/>
        <w:jc w:val="both"/>
        <w:textAlignment w:val="baseline"/>
        <w:rPr>
          <w:color w:val="000000" w:themeColor="text1"/>
          <w:sz w:val="24"/>
          <w:szCs w:val="24"/>
        </w:rPr>
      </w:pPr>
      <w:r w:rsidRPr="008132E3">
        <w:rPr>
          <w:color w:val="000000" w:themeColor="text1"/>
          <w:sz w:val="24"/>
          <w:szCs w:val="24"/>
        </w:rPr>
        <w:t>However, the Supreme Court has made clear that not every controversy regarding employment</w:t>
      </w:r>
      <w:r w:rsidR="00310C02">
        <w:rPr>
          <w:color w:val="000000" w:themeColor="text1"/>
          <w:sz w:val="24"/>
          <w:szCs w:val="24"/>
        </w:rPr>
        <w:t xml:space="preserve"> or a CBA will be preempted by </w:t>
      </w:r>
      <w:r w:rsidR="00A175D2">
        <w:rPr>
          <w:color w:val="000000" w:themeColor="text1"/>
          <w:sz w:val="24"/>
          <w:szCs w:val="24"/>
        </w:rPr>
        <w:t>Section 301</w:t>
      </w:r>
      <w:r w:rsidRPr="008132E3">
        <w:rPr>
          <w:color w:val="000000" w:themeColor="text1"/>
          <w:sz w:val="24"/>
          <w:szCs w:val="24"/>
        </w:rPr>
        <w:t>.</w:t>
      </w:r>
      <w:r>
        <w:rPr>
          <w:rStyle w:val="FootnoteReference"/>
          <w:color w:val="000000" w:themeColor="text1"/>
          <w:sz w:val="24"/>
          <w:szCs w:val="24"/>
        </w:rPr>
        <w:footnoteReference w:id="28"/>
      </w:r>
      <w:r w:rsidRPr="008132E3">
        <w:rPr>
          <w:color w:val="000000" w:themeColor="text1"/>
          <w:sz w:val="24"/>
          <w:szCs w:val="24"/>
        </w:rPr>
        <w:t xml:space="preserve"> The courts have determined that </w:t>
      </w:r>
      <w:r w:rsidR="00A175D2">
        <w:rPr>
          <w:color w:val="000000" w:themeColor="text1"/>
          <w:sz w:val="24"/>
          <w:szCs w:val="24"/>
        </w:rPr>
        <w:t>Section 301</w:t>
      </w:r>
      <w:r w:rsidRPr="008132E3">
        <w:rPr>
          <w:color w:val="000000" w:themeColor="text1"/>
          <w:sz w:val="24"/>
          <w:szCs w:val="24"/>
        </w:rPr>
        <w:t xml:space="preserve"> of the LMRA preempts state law as long as the state law claim demands </w:t>
      </w:r>
      <w:r>
        <w:rPr>
          <w:color w:val="000000" w:themeColor="text1"/>
          <w:sz w:val="24"/>
          <w:szCs w:val="24"/>
        </w:rPr>
        <w:t xml:space="preserve">an </w:t>
      </w:r>
      <w:r w:rsidRPr="008132E3">
        <w:rPr>
          <w:color w:val="000000" w:themeColor="text1"/>
          <w:sz w:val="24"/>
          <w:szCs w:val="24"/>
        </w:rPr>
        <w:t>interpretation of the CBA.</w:t>
      </w:r>
      <w:r>
        <w:rPr>
          <w:rStyle w:val="FootnoteReference"/>
          <w:color w:val="000000" w:themeColor="text1"/>
          <w:sz w:val="24"/>
          <w:szCs w:val="24"/>
        </w:rPr>
        <w:footnoteReference w:id="29"/>
      </w:r>
      <w:r w:rsidRPr="008132E3">
        <w:rPr>
          <w:color w:val="000000" w:themeColor="text1"/>
          <w:sz w:val="24"/>
          <w:szCs w:val="24"/>
        </w:rPr>
        <w:t xml:space="preserve">  </w:t>
      </w:r>
      <w:r>
        <w:rPr>
          <w:color w:val="000000" w:themeColor="text1"/>
          <w:sz w:val="24"/>
          <w:szCs w:val="24"/>
        </w:rPr>
        <w:t>I</w:t>
      </w:r>
      <w:r w:rsidRPr="008132E3">
        <w:rPr>
          <w:color w:val="000000" w:themeColor="text1"/>
          <w:sz w:val="24"/>
          <w:szCs w:val="24"/>
        </w:rPr>
        <w:t>f the determination of the state law claim does not require the court to construe or evaluate any terms of the CBA, then the state law claim will not be preempted.</w:t>
      </w:r>
      <w:r>
        <w:rPr>
          <w:rStyle w:val="FootnoteReference"/>
          <w:color w:val="000000" w:themeColor="text1"/>
          <w:sz w:val="24"/>
          <w:szCs w:val="24"/>
        </w:rPr>
        <w:footnoteReference w:id="30"/>
      </w:r>
      <w:r w:rsidR="00310C02">
        <w:rPr>
          <w:color w:val="000000" w:themeColor="text1"/>
          <w:sz w:val="24"/>
          <w:szCs w:val="24"/>
        </w:rPr>
        <w:t xml:space="preserve"> Ultimately, LMRA </w:t>
      </w:r>
      <w:r w:rsidR="00A175D2">
        <w:rPr>
          <w:color w:val="000000" w:themeColor="text1"/>
          <w:sz w:val="24"/>
          <w:szCs w:val="24"/>
        </w:rPr>
        <w:t>Section 301</w:t>
      </w:r>
      <w:r>
        <w:rPr>
          <w:color w:val="000000" w:themeColor="text1"/>
          <w:sz w:val="24"/>
          <w:szCs w:val="24"/>
        </w:rPr>
        <w:t>, which</w:t>
      </w:r>
      <w:r w:rsidRPr="008132E3">
        <w:rPr>
          <w:color w:val="000000" w:themeColor="text1"/>
          <w:sz w:val="24"/>
          <w:szCs w:val="24"/>
        </w:rPr>
        <w:t xml:space="preserve"> govern</w:t>
      </w:r>
      <w:r>
        <w:rPr>
          <w:color w:val="000000" w:themeColor="text1"/>
          <w:sz w:val="24"/>
          <w:szCs w:val="24"/>
        </w:rPr>
        <w:t xml:space="preserve">s </w:t>
      </w:r>
      <w:r w:rsidRPr="008132E3">
        <w:rPr>
          <w:color w:val="000000" w:themeColor="text1"/>
          <w:sz w:val="24"/>
          <w:szCs w:val="24"/>
        </w:rPr>
        <w:t>actions by an employee against an employer under a CBA, preempts state law claims involving the interpretation of rights and responsibilities under a CBA regardless of whether the plaintiff’s claims sound in state tort or contract law.</w:t>
      </w:r>
      <w:r>
        <w:rPr>
          <w:rStyle w:val="FootnoteReference"/>
          <w:color w:val="000000" w:themeColor="text1"/>
          <w:sz w:val="24"/>
          <w:szCs w:val="24"/>
        </w:rPr>
        <w:footnoteReference w:id="31"/>
      </w:r>
      <w:r w:rsidRPr="008132E3">
        <w:rPr>
          <w:color w:val="000000" w:themeColor="text1"/>
          <w:sz w:val="24"/>
          <w:szCs w:val="24"/>
        </w:rPr>
        <w:t xml:space="preserve"> Lastly, federal law exclusively governs suits for breach of collective bargaining agreements as a result of the LMRA.</w:t>
      </w:r>
      <w:r>
        <w:rPr>
          <w:rStyle w:val="FootnoteReference"/>
          <w:color w:val="000000" w:themeColor="text1"/>
          <w:sz w:val="24"/>
          <w:szCs w:val="24"/>
        </w:rPr>
        <w:footnoteReference w:id="32"/>
      </w:r>
      <w:r w:rsidRPr="008132E3">
        <w:rPr>
          <w:color w:val="000000" w:themeColor="text1"/>
          <w:sz w:val="24"/>
          <w:szCs w:val="24"/>
        </w:rPr>
        <w:t xml:space="preserve">  </w:t>
      </w:r>
    </w:p>
    <w:p w14:paraId="7E9B0B7B" w14:textId="77777777" w:rsidR="005B4449" w:rsidRPr="008132E3" w:rsidRDefault="005B4449" w:rsidP="00E021FB">
      <w:pPr>
        <w:pStyle w:val="NormalWeb"/>
        <w:ind w:firstLine="720"/>
        <w:contextualSpacing/>
        <w:jc w:val="both"/>
        <w:textAlignment w:val="baseline"/>
        <w:rPr>
          <w:color w:val="000000" w:themeColor="text1"/>
          <w:sz w:val="24"/>
          <w:szCs w:val="24"/>
        </w:rPr>
      </w:pPr>
    </w:p>
    <w:p w14:paraId="796F76E8" w14:textId="5D1FDAB1" w:rsidR="005B4449" w:rsidRDefault="005B4449" w:rsidP="00E4293A">
      <w:pPr>
        <w:pStyle w:val="NormalWeb"/>
        <w:numPr>
          <w:ilvl w:val="1"/>
          <w:numId w:val="18"/>
        </w:numPr>
        <w:ind w:left="0" w:firstLine="0"/>
        <w:contextualSpacing/>
        <w:jc w:val="center"/>
        <w:textAlignment w:val="baseline"/>
        <w:rPr>
          <w:b/>
          <w:bCs/>
          <w:smallCaps/>
          <w:color w:val="000000" w:themeColor="text1"/>
          <w:sz w:val="24"/>
          <w:szCs w:val="24"/>
        </w:rPr>
      </w:pPr>
      <w:r w:rsidRPr="005C6C3F">
        <w:rPr>
          <w:b/>
          <w:bCs/>
          <w:i/>
          <w:iCs/>
          <w:smallCaps/>
          <w:color w:val="000000" w:themeColor="text1"/>
          <w:sz w:val="24"/>
          <w:szCs w:val="24"/>
        </w:rPr>
        <w:t xml:space="preserve">Dent v. </w:t>
      </w:r>
      <w:proofErr w:type="spellStart"/>
      <w:r w:rsidRPr="005C6C3F">
        <w:rPr>
          <w:b/>
          <w:bCs/>
          <w:i/>
          <w:iCs/>
          <w:smallCaps/>
          <w:color w:val="000000" w:themeColor="text1"/>
          <w:sz w:val="24"/>
          <w:szCs w:val="24"/>
        </w:rPr>
        <w:t>N</w:t>
      </w:r>
      <w:r w:rsidR="006343B2">
        <w:rPr>
          <w:b/>
          <w:bCs/>
          <w:i/>
          <w:iCs/>
          <w:smallCaps/>
          <w:color w:val="000000" w:themeColor="text1"/>
          <w:sz w:val="24"/>
          <w:szCs w:val="24"/>
        </w:rPr>
        <w:t>at’l</w:t>
      </w:r>
      <w:proofErr w:type="spellEnd"/>
      <w:r w:rsidR="006343B2">
        <w:rPr>
          <w:b/>
          <w:bCs/>
          <w:i/>
          <w:iCs/>
          <w:smallCaps/>
          <w:color w:val="000000" w:themeColor="text1"/>
          <w:sz w:val="24"/>
          <w:szCs w:val="24"/>
        </w:rPr>
        <w:t xml:space="preserve"> </w:t>
      </w:r>
      <w:r w:rsidRPr="005C6C3F">
        <w:rPr>
          <w:b/>
          <w:bCs/>
          <w:i/>
          <w:iCs/>
          <w:smallCaps/>
          <w:color w:val="000000" w:themeColor="text1"/>
          <w:sz w:val="24"/>
          <w:szCs w:val="24"/>
        </w:rPr>
        <w:t>F</w:t>
      </w:r>
      <w:r w:rsidR="006343B2">
        <w:rPr>
          <w:b/>
          <w:bCs/>
          <w:i/>
          <w:iCs/>
          <w:smallCaps/>
          <w:color w:val="000000" w:themeColor="text1"/>
          <w:sz w:val="24"/>
          <w:szCs w:val="24"/>
        </w:rPr>
        <w:t xml:space="preserve">ootball </w:t>
      </w:r>
      <w:r w:rsidRPr="005C6C3F">
        <w:rPr>
          <w:b/>
          <w:bCs/>
          <w:i/>
          <w:iCs/>
          <w:smallCaps/>
          <w:color w:val="000000" w:themeColor="text1"/>
          <w:sz w:val="24"/>
          <w:szCs w:val="24"/>
        </w:rPr>
        <w:t>L</w:t>
      </w:r>
      <w:r w:rsidR="006343B2">
        <w:rPr>
          <w:b/>
          <w:bCs/>
          <w:i/>
          <w:iCs/>
          <w:smallCaps/>
          <w:color w:val="000000" w:themeColor="text1"/>
          <w:sz w:val="24"/>
          <w:szCs w:val="24"/>
        </w:rPr>
        <w:t>eague</w:t>
      </w:r>
      <w:r w:rsidRPr="005C6C3F">
        <w:rPr>
          <w:b/>
          <w:bCs/>
          <w:smallCaps/>
          <w:color w:val="000000" w:themeColor="text1"/>
          <w:sz w:val="24"/>
          <w:szCs w:val="24"/>
        </w:rPr>
        <w:t>, 2014</w:t>
      </w:r>
    </w:p>
    <w:p w14:paraId="173D46BB" w14:textId="77777777" w:rsidR="00946E11" w:rsidRPr="005C6C3F" w:rsidRDefault="00946E11" w:rsidP="00946E11">
      <w:pPr>
        <w:pStyle w:val="NormalWeb"/>
        <w:contextualSpacing/>
        <w:textAlignment w:val="baseline"/>
        <w:rPr>
          <w:b/>
          <w:bCs/>
          <w:smallCaps/>
          <w:color w:val="000000" w:themeColor="text1"/>
          <w:sz w:val="24"/>
          <w:szCs w:val="24"/>
        </w:rPr>
      </w:pPr>
    </w:p>
    <w:p w14:paraId="44319599" w14:textId="688C8383" w:rsidR="005B4449" w:rsidRPr="008132E3" w:rsidRDefault="005B4449" w:rsidP="00E021FB">
      <w:pPr>
        <w:pStyle w:val="NormalWeb"/>
        <w:ind w:firstLine="720"/>
        <w:contextualSpacing/>
        <w:jc w:val="both"/>
        <w:textAlignment w:val="baseline"/>
        <w:rPr>
          <w:color w:val="000000" w:themeColor="text1"/>
          <w:sz w:val="24"/>
          <w:szCs w:val="24"/>
        </w:rPr>
      </w:pPr>
      <w:r w:rsidRPr="008132E3">
        <w:rPr>
          <w:color w:val="000000" w:themeColor="text1"/>
          <w:sz w:val="24"/>
          <w:szCs w:val="24"/>
        </w:rPr>
        <w:t xml:space="preserve">In </w:t>
      </w:r>
      <w:r w:rsidRPr="007119E5">
        <w:rPr>
          <w:i/>
          <w:iCs/>
          <w:color w:val="000000" w:themeColor="text1"/>
          <w:sz w:val="24"/>
          <w:szCs w:val="24"/>
        </w:rPr>
        <w:t>Dent</w:t>
      </w:r>
      <w:r w:rsidRPr="008132E3">
        <w:rPr>
          <w:color w:val="000000" w:themeColor="text1"/>
          <w:sz w:val="24"/>
          <w:szCs w:val="24"/>
        </w:rPr>
        <w:t xml:space="preserve">, former NFL player Richard Dent and 1,100 </w:t>
      </w:r>
      <w:r>
        <w:rPr>
          <w:color w:val="000000" w:themeColor="text1"/>
          <w:sz w:val="24"/>
          <w:szCs w:val="24"/>
        </w:rPr>
        <w:t>other</w:t>
      </w:r>
      <w:r w:rsidRPr="008132E3">
        <w:rPr>
          <w:color w:val="000000" w:themeColor="text1"/>
          <w:sz w:val="24"/>
          <w:szCs w:val="24"/>
        </w:rPr>
        <w:t xml:space="preserve"> plaintiffs brought a punitive class action lawsuit against the NFL</w:t>
      </w:r>
      <w:r w:rsidRPr="008132E3">
        <w:rPr>
          <w:rStyle w:val="apple-converted-space"/>
          <w:color w:val="000000" w:themeColor="text1"/>
          <w:sz w:val="24"/>
          <w:szCs w:val="24"/>
        </w:rPr>
        <w:t> as an entire organization in 2014</w:t>
      </w:r>
      <w:r>
        <w:rPr>
          <w:rStyle w:val="apple-converted-space"/>
          <w:color w:val="000000" w:themeColor="text1"/>
          <w:sz w:val="24"/>
          <w:szCs w:val="24"/>
        </w:rPr>
        <w:t xml:space="preserve"> in the United States District Court for the Northern District of California</w:t>
      </w:r>
      <w:r w:rsidRPr="008132E3">
        <w:rPr>
          <w:rStyle w:val="apple-converted-space"/>
          <w:color w:val="000000" w:themeColor="text1"/>
          <w:sz w:val="24"/>
          <w:szCs w:val="24"/>
        </w:rPr>
        <w:t>.</w:t>
      </w:r>
      <w:r>
        <w:rPr>
          <w:rStyle w:val="FootnoteReference"/>
          <w:color w:val="000000" w:themeColor="text1"/>
          <w:sz w:val="24"/>
          <w:szCs w:val="24"/>
        </w:rPr>
        <w:footnoteReference w:id="33"/>
      </w:r>
      <w:r w:rsidRPr="008132E3">
        <w:rPr>
          <w:color w:val="000000" w:themeColor="text1"/>
          <w:sz w:val="24"/>
          <w:szCs w:val="24"/>
        </w:rPr>
        <w:t xml:space="preserve"> Dent and his fellow plaintiffs alleged that beginning in 1969, NFL trainers and physicians fraudulently and negligently administered opioids, Toradol</w:t>
      </w:r>
      <w:r>
        <w:rPr>
          <w:color w:val="000000" w:themeColor="text1"/>
          <w:sz w:val="24"/>
          <w:szCs w:val="24"/>
        </w:rPr>
        <w:t>,</w:t>
      </w:r>
      <w:r w:rsidRPr="008132E3">
        <w:rPr>
          <w:color w:val="000000" w:themeColor="text1"/>
          <w:sz w:val="24"/>
          <w:szCs w:val="24"/>
        </w:rPr>
        <w:t xml:space="preserve"> and other medications to players in ways that violated federal laws as well as the American Medical Association’s Code of Ethics in what they coined as a “return-to-play scheme</w:t>
      </w:r>
      <w:r>
        <w:rPr>
          <w:color w:val="000000" w:themeColor="text1"/>
          <w:sz w:val="24"/>
          <w:szCs w:val="24"/>
        </w:rPr>
        <w:t>.</w:t>
      </w:r>
      <w:r w:rsidRPr="008132E3">
        <w:rPr>
          <w:color w:val="000000" w:themeColor="text1"/>
          <w:sz w:val="24"/>
          <w:szCs w:val="24"/>
        </w:rPr>
        <w:t>”</w:t>
      </w:r>
      <w:r>
        <w:rPr>
          <w:rStyle w:val="FootnoteReference"/>
          <w:color w:val="000000" w:themeColor="text1"/>
          <w:sz w:val="24"/>
          <w:szCs w:val="24"/>
        </w:rPr>
        <w:footnoteReference w:id="34"/>
      </w:r>
      <w:r w:rsidRPr="008132E3">
        <w:rPr>
          <w:color w:val="000000" w:themeColor="text1"/>
          <w:sz w:val="24"/>
          <w:szCs w:val="24"/>
        </w:rPr>
        <w:t xml:space="preserve"> Plaintiffs asserted this scheme was designed to get players to return to the field of play faster, as opposed to letting them heal in ways that were appropriate but resulted in </w:t>
      </w:r>
      <w:r>
        <w:rPr>
          <w:color w:val="000000" w:themeColor="text1"/>
          <w:sz w:val="24"/>
          <w:szCs w:val="24"/>
        </w:rPr>
        <w:t>an extended</w:t>
      </w:r>
      <w:r w:rsidRPr="008132E3">
        <w:rPr>
          <w:color w:val="000000" w:themeColor="text1"/>
          <w:sz w:val="24"/>
          <w:szCs w:val="24"/>
        </w:rPr>
        <w:t xml:space="preserve"> absence from the game.</w:t>
      </w:r>
      <w:r>
        <w:rPr>
          <w:rStyle w:val="FootnoteReference"/>
          <w:color w:val="000000" w:themeColor="text1"/>
          <w:sz w:val="24"/>
          <w:szCs w:val="24"/>
        </w:rPr>
        <w:footnoteReference w:id="35"/>
      </w:r>
      <w:r w:rsidRPr="008132E3">
        <w:rPr>
          <w:color w:val="000000" w:themeColor="text1"/>
          <w:sz w:val="24"/>
          <w:szCs w:val="24"/>
        </w:rPr>
        <w:t xml:space="preserve"> The plaintiffs alleged that </w:t>
      </w:r>
      <w:r>
        <w:rPr>
          <w:color w:val="000000" w:themeColor="text1"/>
          <w:sz w:val="24"/>
          <w:szCs w:val="24"/>
        </w:rPr>
        <w:t>due to</w:t>
      </w:r>
      <w:r w:rsidRPr="008132E3">
        <w:rPr>
          <w:color w:val="000000" w:themeColor="text1"/>
          <w:sz w:val="24"/>
          <w:szCs w:val="24"/>
        </w:rPr>
        <w:t xml:space="preserve"> t</w:t>
      </w:r>
      <w:r>
        <w:rPr>
          <w:color w:val="000000" w:themeColor="text1"/>
          <w:sz w:val="24"/>
          <w:szCs w:val="24"/>
        </w:rPr>
        <w:t>he League’s conduct</w:t>
      </w:r>
      <w:r w:rsidRPr="008132E3">
        <w:rPr>
          <w:color w:val="000000" w:themeColor="text1"/>
          <w:sz w:val="24"/>
          <w:szCs w:val="24"/>
        </w:rPr>
        <w:t>, they suffered long-standing and continuing mental and physical injuries including</w:t>
      </w:r>
      <w:r>
        <w:rPr>
          <w:color w:val="000000" w:themeColor="text1"/>
          <w:sz w:val="24"/>
          <w:szCs w:val="24"/>
        </w:rPr>
        <w:t>,</w:t>
      </w:r>
      <w:r w:rsidRPr="008132E3">
        <w:rPr>
          <w:color w:val="000000" w:themeColor="text1"/>
          <w:sz w:val="24"/>
          <w:szCs w:val="24"/>
        </w:rPr>
        <w:t xml:space="preserve"> </w:t>
      </w:r>
      <w:r w:rsidR="00353A27">
        <w:rPr>
          <w:color w:val="000000" w:themeColor="text1"/>
          <w:sz w:val="24"/>
          <w:szCs w:val="24"/>
        </w:rPr>
        <w:lastRenderedPageBreak/>
        <w:t>“</w:t>
      </w:r>
      <w:r w:rsidRPr="008132E3">
        <w:rPr>
          <w:color w:val="000000" w:themeColor="text1"/>
          <w:sz w:val="24"/>
          <w:szCs w:val="24"/>
        </w:rPr>
        <w:t>nerve, knee, and elbow injuries that never healed properly, heart disease, renal failure, and drug addiction.</w:t>
      </w:r>
      <w:r w:rsidR="00353A27">
        <w:rPr>
          <w:color w:val="000000" w:themeColor="text1"/>
          <w:sz w:val="24"/>
          <w:szCs w:val="24"/>
        </w:rPr>
        <w:t>”</w:t>
      </w:r>
      <w:r>
        <w:rPr>
          <w:rStyle w:val="FootnoteReference"/>
          <w:color w:val="000000" w:themeColor="text1"/>
          <w:sz w:val="24"/>
          <w:szCs w:val="24"/>
        </w:rPr>
        <w:footnoteReference w:id="36"/>
      </w:r>
    </w:p>
    <w:p w14:paraId="3D44D70A" w14:textId="22FEFDFF" w:rsidR="005B4449" w:rsidRPr="008132E3" w:rsidRDefault="005B4449" w:rsidP="00E021FB">
      <w:pPr>
        <w:pStyle w:val="NormalWeb"/>
        <w:ind w:firstLine="720"/>
        <w:contextualSpacing/>
        <w:jc w:val="both"/>
        <w:textAlignment w:val="baseline"/>
        <w:rPr>
          <w:color w:val="000000" w:themeColor="text1"/>
          <w:sz w:val="24"/>
          <w:szCs w:val="24"/>
        </w:rPr>
      </w:pPr>
      <w:r w:rsidRPr="00003EC6">
        <w:rPr>
          <w:color w:val="000000" w:themeColor="text1"/>
          <w:sz w:val="24"/>
          <w:szCs w:val="24"/>
        </w:rPr>
        <w:t>Dent</w:t>
      </w:r>
      <w:r w:rsidRPr="008132E3">
        <w:rPr>
          <w:color w:val="000000" w:themeColor="text1"/>
          <w:sz w:val="24"/>
          <w:szCs w:val="24"/>
        </w:rPr>
        <w:t xml:space="preserve"> and the other plaintiffs filed claims including </w:t>
      </w:r>
      <w:r>
        <w:rPr>
          <w:color w:val="000000" w:themeColor="text1"/>
          <w:sz w:val="24"/>
          <w:szCs w:val="24"/>
        </w:rPr>
        <w:t xml:space="preserve">negligence, </w:t>
      </w:r>
      <w:r w:rsidRPr="008132E3">
        <w:rPr>
          <w:color w:val="000000" w:themeColor="text1"/>
          <w:sz w:val="24"/>
          <w:szCs w:val="24"/>
        </w:rPr>
        <w:t>negligence per se, negligent hiring and retention, negligent misrepresentation, fraudulent concealment, fraud, and loss of consortium.</w:t>
      </w:r>
      <w:r>
        <w:rPr>
          <w:rStyle w:val="FootnoteReference"/>
          <w:color w:val="000000" w:themeColor="text1"/>
          <w:sz w:val="24"/>
          <w:szCs w:val="24"/>
        </w:rPr>
        <w:footnoteReference w:id="37"/>
      </w:r>
      <w:r w:rsidRPr="008132E3">
        <w:rPr>
          <w:color w:val="000000" w:themeColor="text1"/>
          <w:sz w:val="24"/>
          <w:szCs w:val="24"/>
        </w:rPr>
        <w:t xml:space="preserve"> </w:t>
      </w:r>
      <w:r>
        <w:rPr>
          <w:color w:val="000000" w:themeColor="text1"/>
          <w:sz w:val="24"/>
          <w:szCs w:val="24"/>
        </w:rPr>
        <w:t>They</w:t>
      </w:r>
      <w:r w:rsidRPr="008132E3">
        <w:rPr>
          <w:color w:val="000000" w:themeColor="text1"/>
          <w:sz w:val="24"/>
          <w:szCs w:val="24"/>
        </w:rPr>
        <w:t xml:space="preserve"> sought relief </w:t>
      </w:r>
      <w:r>
        <w:rPr>
          <w:color w:val="000000" w:themeColor="text1"/>
          <w:sz w:val="24"/>
          <w:szCs w:val="24"/>
        </w:rPr>
        <w:t>in the form of</w:t>
      </w:r>
      <w:r w:rsidRPr="008132E3">
        <w:rPr>
          <w:color w:val="000000" w:themeColor="text1"/>
          <w:sz w:val="24"/>
          <w:szCs w:val="24"/>
        </w:rPr>
        <w:t xml:space="preserve"> damages, injunctive and declaratory relief, and medical monitoring.</w:t>
      </w:r>
      <w:r>
        <w:rPr>
          <w:rStyle w:val="FootnoteReference"/>
          <w:color w:val="000000" w:themeColor="text1"/>
          <w:sz w:val="24"/>
          <w:szCs w:val="24"/>
        </w:rPr>
        <w:footnoteReference w:id="38"/>
      </w:r>
      <w:r w:rsidRPr="008132E3">
        <w:rPr>
          <w:color w:val="000000" w:themeColor="text1"/>
          <w:sz w:val="24"/>
          <w:szCs w:val="24"/>
        </w:rPr>
        <w:t xml:space="preserve"> In response to these claims, the NFL filed two motions to dismiss.</w:t>
      </w:r>
      <w:r>
        <w:rPr>
          <w:rStyle w:val="FootnoteReference"/>
          <w:color w:val="000000" w:themeColor="text1"/>
          <w:sz w:val="24"/>
          <w:szCs w:val="24"/>
        </w:rPr>
        <w:footnoteReference w:id="39"/>
      </w:r>
      <w:r w:rsidRPr="008132E3">
        <w:rPr>
          <w:color w:val="000000" w:themeColor="text1"/>
          <w:sz w:val="24"/>
          <w:szCs w:val="24"/>
        </w:rPr>
        <w:t xml:space="preserve"> The first motion argued that the players’ claims were preempted by </w:t>
      </w:r>
      <w:r w:rsidR="00A175D2">
        <w:rPr>
          <w:color w:val="000000" w:themeColor="text1"/>
          <w:sz w:val="24"/>
          <w:szCs w:val="24"/>
        </w:rPr>
        <w:t>Section 301</w:t>
      </w:r>
      <w:r w:rsidRPr="008132E3">
        <w:rPr>
          <w:color w:val="000000" w:themeColor="text1"/>
          <w:sz w:val="24"/>
          <w:szCs w:val="24"/>
        </w:rPr>
        <w:t xml:space="preserve"> of the Labor Management Relations Act of 1947.</w:t>
      </w:r>
      <w:r>
        <w:rPr>
          <w:rStyle w:val="FootnoteReference"/>
          <w:color w:val="000000" w:themeColor="text1"/>
          <w:sz w:val="24"/>
          <w:szCs w:val="24"/>
        </w:rPr>
        <w:footnoteReference w:id="40"/>
      </w:r>
      <w:r w:rsidRPr="008132E3">
        <w:rPr>
          <w:color w:val="000000" w:themeColor="text1"/>
          <w:sz w:val="24"/>
          <w:szCs w:val="24"/>
        </w:rPr>
        <w:t xml:space="preserve"> The second motion filed by the NFL argued Dent and his co-plaintiffs failed to state a claim</w:t>
      </w:r>
      <w:r>
        <w:rPr>
          <w:color w:val="000000" w:themeColor="text1"/>
          <w:sz w:val="24"/>
          <w:szCs w:val="24"/>
        </w:rPr>
        <w:t xml:space="preserve">, </w:t>
      </w:r>
      <w:r w:rsidRPr="008132E3">
        <w:rPr>
          <w:color w:val="000000" w:themeColor="text1"/>
          <w:sz w:val="24"/>
          <w:szCs w:val="24"/>
        </w:rPr>
        <w:t xml:space="preserve">and that their claims were barred by </w:t>
      </w:r>
      <w:r>
        <w:rPr>
          <w:color w:val="000000" w:themeColor="text1"/>
          <w:sz w:val="24"/>
          <w:szCs w:val="24"/>
        </w:rPr>
        <w:t>the statute of limitations</w:t>
      </w:r>
      <w:r w:rsidRPr="008132E3">
        <w:rPr>
          <w:color w:val="000000" w:themeColor="text1"/>
          <w:sz w:val="24"/>
          <w:szCs w:val="24"/>
        </w:rPr>
        <w:t>.</w:t>
      </w:r>
      <w:r>
        <w:rPr>
          <w:rStyle w:val="FootnoteReference"/>
          <w:color w:val="000000" w:themeColor="text1"/>
          <w:sz w:val="24"/>
          <w:szCs w:val="24"/>
        </w:rPr>
        <w:footnoteReference w:id="41"/>
      </w:r>
    </w:p>
    <w:p w14:paraId="14FA66EA" w14:textId="0B8B9737" w:rsidR="005B4449" w:rsidRPr="008132E3" w:rsidRDefault="005B4449" w:rsidP="00E021FB">
      <w:pPr>
        <w:pStyle w:val="NormalWeb"/>
        <w:ind w:firstLine="720"/>
        <w:contextualSpacing/>
        <w:jc w:val="both"/>
        <w:textAlignment w:val="baseline"/>
        <w:rPr>
          <w:color w:val="000000" w:themeColor="text1"/>
          <w:sz w:val="24"/>
          <w:szCs w:val="24"/>
        </w:rPr>
      </w:pPr>
      <w:r w:rsidRPr="008132E3">
        <w:rPr>
          <w:color w:val="000000" w:themeColor="text1"/>
          <w:sz w:val="24"/>
          <w:szCs w:val="24"/>
        </w:rPr>
        <w:t>Responding to these motions, the district court</w:t>
      </w:r>
      <w:r w:rsidRPr="008132E3">
        <w:rPr>
          <w:rStyle w:val="apple-converted-space"/>
          <w:color w:val="000000" w:themeColor="text1"/>
          <w:sz w:val="24"/>
          <w:szCs w:val="24"/>
        </w:rPr>
        <w:t> </w:t>
      </w:r>
      <w:bookmarkStart w:id="0" w:name="PAGE_8958"/>
      <w:r w:rsidRPr="008132E3">
        <w:rPr>
          <w:color w:val="000000" w:themeColor="text1"/>
          <w:sz w:val="24"/>
          <w:szCs w:val="24"/>
        </w:rPr>
        <w:t xml:space="preserve">held that </w:t>
      </w:r>
      <w:r w:rsidR="00A175D2">
        <w:rPr>
          <w:color w:val="000000" w:themeColor="text1"/>
          <w:sz w:val="24"/>
          <w:szCs w:val="24"/>
        </w:rPr>
        <w:t>Section 301</w:t>
      </w:r>
      <w:r w:rsidRPr="008132E3">
        <w:rPr>
          <w:color w:val="000000" w:themeColor="text1"/>
          <w:sz w:val="24"/>
          <w:szCs w:val="24"/>
        </w:rPr>
        <w:t xml:space="preserve"> did preempt the plaintiffs</w:t>
      </w:r>
      <w:r w:rsidR="00353A27">
        <w:rPr>
          <w:color w:val="000000" w:themeColor="text1"/>
          <w:sz w:val="24"/>
          <w:szCs w:val="24"/>
        </w:rPr>
        <w:t>’</w:t>
      </w:r>
      <w:r w:rsidRPr="008132E3">
        <w:rPr>
          <w:color w:val="000000" w:themeColor="text1"/>
          <w:sz w:val="24"/>
          <w:szCs w:val="24"/>
        </w:rPr>
        <w:t xml:space="preserve"> claims because it would not be possible to address or determine the NFL's negligence without reference to the CBA, and stated that</w:t>
      </w:r>
      <w:r>
        <w:rPr>
          <w:color w:val="000000" w:themeColor="text1"/>
          <w:sz w:val="24"/>
          <w:szCs w:val="24"/>
        </w:rPr>
        <w:t>,</w:t>
      </w:r>
      <w:r w:rsidRPr="008132E3">
        <w:rPr>
          <w:color w:val="000000" w:themeColor="text1"/>
          <w:sz w:val="24"/>
          <w:szCs w:val="24"/>
        </w:rPr>
        <w:t xml:space="preserve"> “it would be essential to take into account the affirmative steps the NFL has taken to protect the health and safety of the players, including the administration of medicine.”</w:t>
      </w:r>
      <w:r>
        <w:rPr>
          <w:rStyle w:val="FootnoteReference"/>
          <w:color w:val="000000" w:themeColor="text1"/>
          <w:sz w:val="24"/>
          <w:szCs w:val="24"/>
        </w:rPr>
        <w:footnoteReference w:id="42"/>
      </w:r>
      <w:r w:rsidRPr="008132E3">
        <w:rPr>
          <w:color w:val="000000" w:themeColor="text1"/>
          <w:sz w:val="24"/>
          <w:szCs w:val="24"/>
        </w:rPr>
        <w:t xml:space="preserve"> In </w:t>
      </w:r>
      <w:r>
        <w:rPr>
          <w:color w:val="000000" w:themeColor="text1"/>
          <w:sz w:val="24"/>
          <w:szCs w:val="24"/>
        </w:rPr>
        <w:t>their counter argument,</w:t>
      </w:r>
      <w:r w:rsidRPr="008132E3">
        <w:rPr>
          <w:color w:val="000000" w:themeColor="text1"/>
          <w:sz w:val="24"/>
          <w:szCs w:val="24"/>
        </w:rPr>
        <w:t xml:space="preserve"> Dent and his co-plaintiffs replied that the duties of the NFL </w:t>
      </w:r>
      <w:r>
        <w:rPr>
          <w:color w:val="000000" w:themeColor="text1"/>
          <w:sz w:val="24"/>
          <w:szCs w:val="24"/>
        </w:rPr>
        <w:t>could</w:t>
      </w:r>
      <w:r w:rsidRPr="008132E3">
        <w:rPr>
          <w:color w:val="000000" w:themeColor="text1"/>
          <w:sz w:val="24"/>
          <w:szCs w:val="24"/>
        </w:rPr>
        <w:t xml:space="preserve"> be considered separately from the duties </w:t>
      </w:r>
      <w:r>
        <w:rPr>
          <w:color w:val="000000" w:themeColor="text1"/>
          <w:sz w:val="24"/>
          <w:szCs w:val="24"/>
        </w:rPr>
        <w:t>of</w:t>
      </w:r>
      <w:r w:rsidRPr="008132E3">
        <w:rPr>
          <w:color w:val="000000" w:themeColor="text1"/>
          <w:sz w:val="24"/>
          <w:szCs w:val="24"/>
        </w:rPr>
        <w:t xml:space="preserve"> by the individual clubs and their medical personnel.</w:t>
      </w:r>
      <w:r>
        <w:rPr>
          <w:rStyle w:val="FootnoteReference"/>
          <w:color w:val="000000" w:themeColor="text1"/>
          <w:sz w:val="24"/>
          <w:szCs w:val="24"/>
        </w:rPr>
        <w:footnoteReference w:id="43"/>
      </w:r>
      <w:r w:rsidRPr="008132E3">
        <w:rPr>
          <w:color w:val="000000" w:themeColor="text1"/>
          <w:sz w:val="24"/>
          <w:szCs w:val="24"/>
        </w:rPr>
        <w:t xml:space="preserve"> The district court</w:t>
      </w:r>
      <w:r w:rsidRPr="008132E3">
        <w:rPr>
          <w:rStyle w:val="apple-converted-space"/>
          <w:color w:val="000000" w:themeColor="text1"/>
          <w:sz w:val="24"/>
          <w:szCs w:val="24"/>
        </w:rPr>
        <w:t> </w:t>
      </w:r>
      <w:r w:rsidRPr="008132E3">
        <w:rPr>
          <w:color w:val="000000" w:themeColor="text1"/>
          <w:sz w:val="24"/>
          <w:szCs w:val="24"/>
        </w:rPr>
        <w:t>rejected th</w:t>
      </w:r>
      <w:r>
        <w:rPr>
          <w:color w:val="000000" w:themeColor="text1"/>
          <w:sz w:val="24"/>
          <w:szCs w:val="24"/>
        </w:rPr>
        <w:t>ese</w:t>
      </w:r>
      <w:r w:rsidRPr="008132E3">
        <w:rPr>
          <w:color w:val="000000" w:themeColor="text1"/>
          <w:sz w:val="24"/>
          <w:szCs w:val="24"/>
        </w:rPr>
        <w:t xml:space="preserve"> arguments </w:t>
      </w:r>
      <w:r>
        <w:rPr>
          <w:color w:val="000000" w:themeColor="text1"/>
          <w:sz w:val="24"/>
          <w:szCs w:val="24"/>
        </w:rPr>
        <w:t xml:space="preserve">and clearly stated </w:t>
      </w:r>
      <w:r w:rsidRPr="008132E3">
        <w:rPr>
          <w:color w:val="000000" w:themeColor="text1"/>
          <w:sz w:val="24"/>
          <w:szCs w:val="24"/>
        </w:rPr>
        <w:t>that the claim was based on an overarching duty owed by the NFL</w:t>
      </w:r>
      <w:r>
        <w:rPr>
          <w:color w:val="000000" w:themeColor="text1"/>
          <w:sz w:val="24"/>
          <w:szCs w:val="24"/>
        </w:rPr>
        <w:t>.</w:t>
      </w:r>
      <w:r>
        <w:rPr>
          <w:rStyle w:val="FootnoteReference"/>
          <w:color w:val="000000" w:themeColor="text1"/>
          <w:sz w:val="24"/>
          <w:szCs w:val="24"/>
        </w:rPr>
        <w:footnoteReference w:id="44"/>
      </w:r>
      <w:r>
        <w:rPr>
          <w:color w:val="000000" w:themeColor="text1"/>
          <w:sz w:val="24"/>
          <w:szCs w:val="24"/>
        </w:rPr>
        <w:t xml:space="preserve"> T</w:t>
      </w:r>
      <w:r w:rsidRPr="008132E3">
        <w:rPr>
          <w:color w:val="000000" w:themeColor="text1"/>
          <w:sz w:val="24"/>
          <w:szCs w:val="24"/>
        </w:rPr>
        <w:t xml:space="preserve">o determine the scope of that duty, the court would have to consider the </w:t>
      </w:r>
      <w:r>
        <w:rPr>
          <w:color w:val="000000" w:themeColor="text1"/>
          <w:sz w:val="24"/>
          <w:szCs w:val="24"/>
        </w:rPr>
        <w:t>CBA</w:t>
      </w:r>
      <w:r w:rsidRPr="008132E3">
        <w:rPr>
          <w:color w:val="000000" w:themeColor="text1"/>
          <w:sz w:val="24"/>
          <w:szCs w:val="24"/>
        </w:rPr>
        <w:t xml:space="preserve"> to determine what the NFL required of the individual team doctors.</w:t>
      </w:r>
      <w:r>
        <w:rPr>
          <w:rStyle w:val="FootnoteReference"/>
          <w:color w:val="000000" w:themeColor="text1"/>
          <w:sz w:val="24"/>
          <w:szCs w:val="24"/>
        </w:rPr>
        <w:footnoteReference w:id="45"/>
      </w:r>
      <w:r w:rsidRPr="008132E3">
        <w:rPr>
          <w:color w:val="000000" w:themeColor="text1"/>
          <w:sz w:val="24"/>
          <w:szCs w:val="24"/>
        </w:rPr>
        <w:t xml:space="preserve"> </w:t>
      </w:r>
    </w:p>
    <w:p w14:paraId="654ACF09" w14:textId="57DBFBEC" w:rsidR="005B4449" w:rsidRDefault="005B4449" w:rsidP="00E021FB">
      <w:pPr>
        <w:pStyle w:val="NormalWeb"/>
        <w:ind w:firstLine="720"/>
        <w:contextualSpacing/>
        <w:jc w:val="both"/>
        <w:textAlignment w:val="baseline"/>
        <w:rPr>
          <w:color w:val="000000" w:themeColor="text1"/>
          <w:sz w:val="24"/>
          <w:szCs w:val="24"/>
        </w:rPr>
      </w:pPr>
      <w:r w:rsidRPr="008132E3">
        <w:rPr>
          <w:color w:val="000000" w:themeColor="text1"/>
          <w:sz w:val="24"/>
          <w:szCs w:val="24"/>
        </w:rPr>
        <w:t xml:space="preserve">Additionally, the court emphasized that </w:t>
      </w:r>
      <w:r>
        <w:rPr>
          <w:color w:val="000000" w:themeColor="text1"/>
          <w:sz w:val="24"/>
          <w:szCs w:val="24"/>
        </w:rPr>
        <w:t xml:space="preserve">because </w:t>
      </w:r>
      <w:r w:rsidRPr="008132E3">
        <w:rPr>
          <w:color w:val="000000" w:themeColor="text1"/>
          <w:sz w:val="24"/>
          <w:szCs w:val="24"/>
        </w:rPr>
        <w:t xml:space="preserve">the CBA was absent of medical and health responsibility at </w:t>
      </w:r>
      <w:r>
        <w:rPr>
          <w:color w:val="000000" w:themeColor="text1"/>
          <w:sz w:val="24"/>
          <w:szCs w:val="24"/>
        </w:rPr>
        <w:t>the League</w:t>
      </w:r>
      <w:r w:rsidRPr="008132E3">
        <w:rPr>
          <w:color w:val="000000" w:themeColor="text1"/>
          <w:sz w:val="24"/>
          <w:szCs w:val="24"/>
        </w:rPr>
        <w:t xml:space="preserve"> level, </w:t>
      </w:r>
      <w:r>
        <w:rPr>
          <w:color w:val="000000" w:themeColor="text1"/>
          <w:sz w:val="24"/>
          <w:szCs w:val="24"/>
        </w:rPr>
        <w:t>it is</w:t>
      </w:r>
      <w:r w:rsidRPr="008132E3">
        <w:rPr>
          <w:color w:val="000000" w:themeColor="text1"/>
          <w:sz w:val="24"/>
          <w:szCs w:val="24"/>
        </w:rPr>
        <w:t xml:space="preserve"> implied that such </w:t>
      </w:r>
      <w:r>
        <w:rPr>
          <w:color w:val="000000" w:themeColor="text1"/>
          <w:sz w:val="24"/>
          <w:szCs w:val="24"/>
        </w:rPr>
        <w:t xml:space="preserve">medical and health responsibility </w:t>
      </w:r>
      <w:r w:rsidRPr="008132E3">
        <w:rPr>
          <w:color w:val="000000" w:themeColor="text1"/>
          <w:sz w:val="24"/>
          <w:szCs w:val="24"/>
        </w:rPr>
        <w:t xml:space="preserve">was only placed upon the individual teams </w:t>
      </w:r>
      <w:r>
        <w:rPr>
          <w:color w:val="000000" w:themeColor="text1"/>
          <w:sz w:val="24"/>
          <w:szCs w:val="24"/>
        </w:rPr>
        <w:t xml:space="preserve">themselves </w:t>
      </w:r>
      <w:r w:rsidRPr="008132E3">
        <w:rPr>
          <w:color w:val="000000" w:themeColor="text1"/>
          <w:sz w:val="24"/>
          <w:szCs w:val="24"/>
        </w:rPr>
        <w:t xml:space="preserve">and not on </w:t>
      </w:r>
      <w:r>
        <w:rPr>
          <w:color w:val="000000" w:themeColor="text1"/>
          <w:sz w:val="24"/>
          <w:szCs w:val="24"/>
        </w:rPr>
        <w:t>the League as a whole</w:t>
      </w:r>
      <w:r w:rsidRPr="008132E3">
        <w:rPr>
          <w:color w:val="000000" w:themeColor="text1"/>
          <w:sz w:val="24"/>
          <w:szCs w:val="24"/>
        </w:rPr>
        <w:t>.</w:t>
      </w:r>
      <w:r>
        <w:rPr>
          <w:rStyle w:val="FootnoteReference"/>
          <w:color w:val="000000" w:themeColor="text1"/>
          <w:sz w:val="24"/>
          <w:szCs w:val="24"/>
        </w:rPr>
        <w:footnoteReference w:id="46"/>
      </w:r>
      <w:r w:rsidRPr="008132E3">
        <w:rPr>
          <w:color w:val="000000" w:themeColor="text1"/>
          <w:sz w:val="24"/>
          <w:szCs w:val="24"/>
        </w:rPr>
        <w:t xml:space="preserve"> In short, the plaintiffs in </w:t>
      </w:r>
      <w:r w:rsidRPr="00DF1E3A">
        <w:rPr>
          <w:i/>
          <w:iCs/>
          <w:color w:val="000000" w:themeColor="text1"/>
          <w:sz w:val="24"/>
          <w:szCs w:val="24"/>
        </w:rPr>
        <w:t xml:space="preserve">Dent </w:t>
      </w:r>
      <w:r w:rsidRPr="008132E3">
        <w:rPr>
          <w:color w:val="000000" w:themeColor="text1"/>
          <w:sz w:val="24"/>
          <w:szCs w:val="24"/>
        </w:rPr>
        <w:t xml:space="preserve">were unsuccessful in their attempt to hold the NFL liable for the injuries that the plaintiffs </w:t>
      </w:r>
      <w:r w:rsidRPr="008132E3">
        <w:rPr>
          <w:color w:val="000000" w:themeColor="text1"/>
          <w:sz w:val="24"/>
          <w:szCs w:val="24"/>
        </w:rPr>
        <w:lastRenderedPageBreak/>
        <w:t xml:space="preserve">suffered during their time in the NFL because their claims of negligence were preempted under </w:t>
      </w:r>
      <w:r w:rsidR="00A175D2">
        <w:rPr>
          <w:color w:val="000000" w:themeColor="text1"/>
          <w:sz w:val="24"/>
          <w:szCs w:val="24"/>
        </w:rPr>
        <w:t>Section 301</w:t>
      </w:r>
      <w:r w:rsidRPr="008132E3">
        <w:rPr>
          <w:color w:val="000000" w:themeColor="text1"/>
          <w:sz w:val="24"/>
          <w:szCs w:val="24"/>
        </w:rPr>
        <w:t xml:space="preserve"> of the LMRA</w:t>
      </w:r>
      <w:r>
        <w:rPr>
          <w:color w:val="000000" w:themeColor="text1"/>
          <w:sz w:val="24"/>
          <w:szCs w:val="24"/>
        </w:rPr>
        <w:t>,</w:t>
      </w:r>
      <w:r w:rsidRPr="008132E3">
        <w:rPr>
          <w:color w:val="000000" w:themeColor="text1"/>
          <w:sz w:val="24"/>
          <w:szCs w:val="24"/>
        </w:rPr>
        <w:t xml:space="preserve"> </w:t>
      </w:r>
      <w:r>
        <w:rPr>
          <w:color w:val="000000" w:themeColor="text1"/>
          <w:sz w:val="24"/>
          <w:szCs w:val="24"/>
        </w:rPr>
        <w:t xml:space="preserve">because </w:t>
      </w:r>
      <w:r w:rsidRPr="008132E3">
        <w:rPr>
          <w:color w:val="000000" w:themeColor="text1"/>
          <w:sz w:val="24"/>
          <w:szCs w:val="24"/>
        </w:rPr>
        <w:t>the court determin</w:t>
      </w:r>
      <w:r>
        <w:rPr>
          <w:color w:val="000000" w:themeColor="text1"/>
          <w:sz w:val="24"/>
          <w:szCs w:val="24"/>
        </w:rPr>
        <w:t xml:space="preserve">ed </w:t>
      </w:r>
      <w:r w:rsidRPr="008132E3">
        <w:rPr>
          <w:color w:val="000000" w:themeColor="text1"/>
          <w:sz w:val="24"/>
          <w:szCs w:val="24"/>
        </w:rPr>
        <w:t>that the CBA would have to be interpreted in order to reach a conclusion.</w:t>
      </w:r>
      <w:r>
        <w:rPr>
          <w:rStyle w:val="FootnoteReference"/>
          <w:color w:val="000000" w:themeColor="text1"/>
          <w:sz w:val="24"/>
          <w:szCs w:val="24"/>
        </w:rPr>
        <w:footnoteReference w:id="47"/>
      </w:r>
    </w:p>
    <w:p w14:paraId="704263F1" w14:textId="77777777" w:rsidR="00E021FB" w:rsidRPr="008132E3" w:rsidRDefault="00E021FB" w:rsidP="00E021FB">
      <w:pPr>
        <w:pStyle w:val="NormalWeb"/>
        <w:ind w:firstLine="720"/>
        <w:contextualSpacing/>
        <w:jc w:val="both"/>
        <w:textAlignment w:val="baseline"/>
        <w:rPr>
          <w:color w:val="000000" w:themeColor="text1"/>
          <w:sz w:val="24"/>
          <w:szCs w:val="24"/>
        </w:rPr>
      </w:pPr>
    </w:p>
    <w:p w14:paraId="01F576AC" w14:textId="77D65B17" w:rsidR="005B4449" w:rsidRPr="005C6C3F" w:rsidRDefault="005B4449" w:rsidP="00E4293A">
      <w:pPr>
        <w:pStyle w:val="NormalWeb"/>
        <w:numPr>
          <w:ilvl w:val="1"/>
          <w:numId w:val="18"/>
        </w:numPr>
        <w:ind w:left="360" w:firstLine="720"/>
        <w:contextualSpacing/>
        <w:jc w:val="both"/>
        <w:textAlignment w:val="baseline"/>
        <w:rPr>
          <w:b/>
          <w:bCs/>
          <w:i/>
          <w:iCs/>
          <w:smallCaps/>
          <w:color w:val="000000" w:themeColor="text1"/>
          <w:sz w:val="24"/>
          <w:szCs w:val="24"/>
        </w:rPr>
      </w:pPr>
      <w:r w:rsidRPr="005C6C3F">
        <w:rPr>
          <w:b/>
          <w:bCs/>
          <w:i/>
          <w:iCs/>
          <w:smallCaps/>
          <w:color w:val="000000" w:themeColor="text1"/>
          <w:sz w:val="24"/>
          <w:szCs w:val="24"/>
        </w:rPr>
        <w:t>Evans v. Arizona Cardinals</w:t>
      </w:r>
    </w:p>
    <w:p w14:paraId="1B4999BD" w14:textId="77777777" w:rsidR="00E021FB" w:rsidRDefault="00E021FB" w:rsidP="00E021FB">
      <w:pPr>
        <w:pStyle w:val="NormalWeb"/>
        <w:ind w:firstLine="720"/>
        <w:contextualSpacing/>
        <w:jc w:val="both"/>
        <w:textAlignment w:val="baseline"/>
        <w:rPr>
          <w:color w:val="000000" w:themeColor="text1"/>
          <w:sz w:val="24"/>
          <w:szCs w:val="24"/>
        </w:rPr>
      </w:pPr>
    </w:p>
    <w:p w14:paraId="40D65543" w14:textId="4DE33B0C" w:rsidR="005B4449" w:rsidRPr="008132E3" w:rsidRDefault="005B4449" w:rsidP="00E021FB">
      <w:pPr>
        <w:pStyle w:val="NormalWeb"/>
        <w:ind w:firstLine="720"/>
        <w:contextualSpacing/>
        <w:jc w:val="both"/>
        <w:textAlignment w:val="baseline"/>
        <w:rPr>
          <w:color w:val="000000" w:themeColor="text1"/>
          <w:sz w:val="24"/>
          <w:szCs w:val="24"/>
        </w:rPr>
      </w:pPr>
      <w:r>
        <w:rPr>
          <w:color w:val="000000" w:themeColor="text1"/>
          <w:sz w:val="24"/>
          <w:szCs w:val="24"/>
        </w:rPr>
        <w:t>I</w:t>
      </w:r>
      <w:r w:rsidRPr="008132E3">
        <w:rPr>
          <w:color w:val="000000" w:themeColor="text1"/>
          <w:sz w:val="24"/>
          <w:szCs w:val="24"/>
        </w:rPr>
        <w:t>n 2016</w:t>
      </w:r>
      <w:r>
        <w:rPr>
          <w:color w:val="000000" w:themeColor="text1"/>
          <w:sz w:val="24"/>
          <w:szCs w:val="24"/>
        </w:rPr>
        <w:t>,</w:t>
      </w:r>
      <w:r w:rsidRPr="008132E3">
        <w:rPr>
          <w:color w:val="000000" w:themeColor="text1"/>
          <w:sz w:val="24"/>
          <w:szCs w:val="24"/>
        </w:rPr>
        <w:t xml:space="preserve"> </w:t>
      </w:r>
      <w:r w:rsidRPr="005719FE">
        <w:rPr>
          <w:i/>
          <w:iCs/>
          <w:color w:val="000000" w:themeColor="text1"/>
          <w:sz w:val="24"/>
          <w:szCs w:val="24"/>
        </w:rPr>
        <w:t>Evans v. Arizona Cardinals</w:t>
      </w:r>
      <w:r>
        <w:rPr>
          <w:color w:val="000000" w:themeColor="text1"/>
          <w:sz w:val="24"/>
          <w:szCs w:val="24"/>
        </w:rPr>
        <w:t xml:space="preserve"> once again raised </w:t>
      </w:r>
      <w:r w:rsidRPr="008132E3">
        <w:rPr>
          <w:color w:val="000000" w:themeColor="text1"/>
          <w:sz w:val="24"/>
          <w:szCs w:val="24"/>
        </w:rPr>
        <w:t>the issue of the NFL's distribution of painkillers.</w:t>
      </w:r>
      <w:r>
        <w:rPr>
          <w:rStyle w:val="FootnoteReference"/>
          <w:color w:val="000000" w:themeColor="text1"/>
          <w:sz w:val="24"/>
          <w:szCs w:val="24"/>
        </w:rPr>
        <w:footnoteReference w:id="48"/>
      </w:r>
      <w:r w:rsidRPr="008132E3">
        <w:rPr>
          <w:color w:val="000000" w:themeColor="text1"/>
          <w:sz w:val="24"/>
          <w:szCs w:val="24"/>
        </w:rPr>
        <w:t xml:space="preserve"> The same class of plaintiffs in</w:t>
      </w:r>
      <w:r w:rsidRPr="008132E3">
        <w:rPr>
          <w:rStyle w:val="apple-converted-space"/>
          <w:color w:val="000000" w:themeColor="text1"/>
          <w:sz w:val="24"/>
          <w:szCs w:val="24"/>
        </w:rPr>
        <w:t> </w:t>
      </w:r>
      <w:bookmarkEnd w:id="0"/>
      <w:r w:rsidRPr="007119E5">
        <w:rPr>
          <w:i/>
          <w:iCs/>
          <w:color w:val="000000" w:themeColor="text1"/>
          <w:sz w:val="24"/>
          <w:szCs w:val="24"/>
        </w:rPr>
        <w:t>Dent</w:t>
      </w:r>
      <w:r w:rsidRPr="008132E3">
        <w:rPr>
          <w:color w:val="000000" w:themeColor="text1"/>
          <w:sz w:val="24"/>
          <w:szCs w:val="24"/>
        </w:rPr>
        <w:t xml:space="preserve"> once again filed a</w:t>
      </w:r>
      <w:r>
        <w:rPr>
          <w:color w:val="000000" w:themeColor="text1"/>
          <w:sz w:val="24"/>
          <w:szCs w:val="24"/>
        </w:rPr>
        <w:t>nother</w:t>
      </w:r>
      <w:r w:rsidRPr="008132E3">
        <w:rPr>
          <w:color w:val="000000" w:themeColor="text1"/>
          <w:sz w:val="24"/>
          <w:szCs w:val="24"/>
        </w:rPr>
        <w:t xml:space="preserve"> class action suit</w:t>
      </w:r>
      <w:r>
        <w:rPr>
          <w:color w:val="000000" w:themeColor="text1"/>
          <w:sz w:val="24"/>
          <w:szCs w:val="24"/>
        </w:rPr>
        <w:t xml:space="preserve"> in the United States District Court for the Northern District of California</w:t>
      </w:r>
      <w:r w:rsidRPr="008132E3">
        <w:rPr>
          <w:color w:val="000000" w:themeColor="text1"/>
          <w:sz w:val="24"/>
          <w:szCs w:val="24"/>
        </w:rPr>
        <w:t>.</w:t>
      </w:r>
      <w:r>
        <w:rPr>
          <w:rStyle w:val="FootnoteReference"/>
          <w:color w:val="000000" w:themeColor="text1"/>
          <w:sz w:val="24"/>
          <w:szCs w:val="24"/>
        </w:rPr>
        <w:footnoteReference w:id="49"/>
      </w:r>
      <w:r w:rsidRPr="008132E3">
        <w:rPr>
          <w:color w:val="000000" w:themeColor="text1"/>
          <w:sz w:val="24"/>
          <w:szCs w:val="24"/>
        </w:rPr>
        <w:t xml:space="preserve"> However, in this instance</w:t>
      </w:r>
      <w:r>
        <w:rPr>
          <w:color w:val="000000" w:themeColor="text1"/>
          <w:sz w:val="24"/>
          <w:szCs w:val="24"/>
        </w:rPr>
        <w:t>,</w:t>
      </w:r>
      <w:r w:rsidRPr="008132E3">
        <w:rPr>
          <w:color w:val="000000" w:themeColor="text1"/>
          <w:sz w:val="24"/>
          <w:szCs w:val="24"/>
        </w:rPr>
        <w:t xml:space="preserve"> the plaintiffs brought suit against each of the </w:t>
      </w:r>
      <w:r>
        <w:rPr>
          <w:color w:val="000000" w:themeColor="text1"/>
          <w:sz w:val="24"/>
          <w:szCs w:val="24"/>
        </w:rPr>
        <w:t>thirty-two</w:t>
      </w:r>
      <w:r w:rsidRPr="008132E3">
        <w:rPr>
          <w:color w:val="000000" w:themeColor="text1"/>
          <w:sz w:val="24"/>
          <w:szCs w:val="24"/>
        </w:rPr>
        <w:t xml:space="preserve"> NFL franchises individually.</w:t>
      </w:r>
      <w:r>
        <w:rPr>
          <w:rStyle w:val="FootnoteReference"/>
          <w:color w:val="000000" w:themeColor="text1"/>
          <w:sz w:val="24"/>
          <w:szCs w:val="24"/>
        </w:rPr>
        <w:footnoteReference w:id="50"/>
      </w:r>
      <w:r w:rsidRPr="008132E3">
        <w:rPr>
          <w:color w:val="000000" w:themeColor="text1"/>
          <w:sz w:val="24"/>
          <w:szCs w:val="24"/>
        </w:rPr>
        <w:t xml:space="preserve"> As in </w:t>
      </w:r>
      <w:r w:rsidRPr="00DF1E3A">
        <w:rPr>
          <w:i/>
          <w:iCs/>
          <w:color w:val="000000" w:themeColor="text1"/>
          <w:sz w:val="24"/>
          <w:szCs w:val="24"/>
        </w:rPr>
        <w:t>Dent</w:t>
      </w:r>
      <w:r w:rsidRPr="008132E3">
        <w:rPr>
          <w:color w:val="000000" w:themeColor="text1"/>
          <w:sz w:val="24"/>
          <w:szCs w:val="24"/>
        </w:rPr>
        <w:t xml:space="preserve">, the plaintiffs in </w:t>
      </w:r>
      <w:r w:rsidRPr="009F68E2">
        <w:rPr>
          <w:i/>
          <w:iCs/>
          <w:color w:val="000000" w:themeColor="text1"/>
          <w:sz w:val="24"/>
          <w:szCs w:val="24"/>
        </w:rPr>
        <w:t>Evans</w:t>
      </w:r>
      <w:r w:rsidRPr="008132E3">
        <w:rPr>
          <w:color w:val="000000" w:themeColor="text1"/>
          <w:sz w:val="24"/>
          <w:szCs w:val="24"/>
        </w:rPr>
        <w:t xml:space="preserve"> claimed that franchises</w:t>
      </w:r>
      <w:r>
        <w:rPr>
          <w:color w:val="000000" w:themeColor="text1"/>
          <w:sz w:val="24"/>
          <w:szCs w:val="24"/>
        </w:rPr>
        <w:t>’</w:t>
      </w:r>
      <w:r w:rsidRPr="008132E3">
        <w:rPr>
          <w:color w:val="000000" w:themeColor="text1"/>
          <w:sz w:val="24"/>
          <w:szCs w:val="24"/>
        </w:rPr>
        <w:t xml:space="preserve"> trainers and physicians routinely withheld injury-related information from players.</w:t>
      </w:r>
      <w:r>
        <w:rPr>
          <w:rStyle w:val="FootnoteReference"/>
          <w:color w:val="000000" w:themeColor="text1"/>
          <w:sz w:val="24"/>
          <w:szCs w:val="24"/>
        </w:rPr>
        <w:footnoteReference w:id="51"/>
      </w:r>
      <w:r w:rsidRPr="008132E3">
        <w:rPr>
          <w:color w:val="000000" w:themeColor="text1"/>
          <w:sz w:val="24"/>
          <w:szCs w:val="24"/>
        </w:rPr>
        <w:t xml:space="preserve"> They further asserted that the individual NFL franchises illegally provided and administered painkillers without informed consent in violation of California statutory law</w:t>
      </w:r>
      <w:r>
        <w:rPr>
          <w:color w:val="000000" w:themeColor="text1"/>
          <w:sz w:val="24"/>
          <w:szCs w:val="24"/>
        </w:rPr>
        <w:t>,</w:t>
      </w:r>
      <w:r w:rsidRPr="008132E3">
        <w:rPr>
          <w:color w:val="000000" w:themeColor="text1"/>
          <w:sz w:val="24"/>
          <w:szCs w:val="24"/>
        </w:rPr>
        <w:t xml:space="preserve"> in </w:t>
      </w:r>
      <w:r>
        <w:rPr>
          <w:color w:val="000000" w:themeColor="text1"/>
          <w:sz w:val="24"/>
          <w:szCs w:val="24"/>
        </w:rPr>
        <w:t xml:space="preserve">an </w:t>
      </w:r>
      <w:r w:rsidRPr="008132E3">
        <w:rPr>
          <w:color w:val="000000" w:themeColor="text1"/>
          <w:sz w:val="24"/>
          <w:szCs w:val="24"/>
        </w:rPr>
        <w:t>effort to keep players on the field.</w:t>
      </w:r>
      <w:r>
        <w:rPr>
          <w:rStyle w:val="FootnoteReference"/>
          <w:color w:val="000000" w:themeColor="text1"/>
          <w:sz w:val="24"/>
          <w:szCs w:val="24"/>
        </w:rPr>
        <w:footnoteReference w:id="52"/>
      </w:r>
      <w:r w:rsidRPr="008132E3">
        <w:rPr>
          <w:color w:val="000000" w:themeColor="text1"/>
          <w:sz w:val="24"/>
          <w:szCs w:val="24"/>
        </w:rPr>
        <w:t xml:space="preserve"> In response, the individual franchises moved to dismiss once again under </w:t>
      </w:r>
      <w:r w:rsidR="00A175D2">
        <w:rPr>
          <w:color w:val="000000" w:themeColor="text1"/>
          <w:sz w:val="24"/>
          <w:szCs w:val="24"/>
        </w:rPr>
        <w:t>Section 301</w:t>
      </w:r>
      <w:r w:rsidRPr="008132E3">
        <w:rPr>
          <w:color w:val="000000" w:themeColor="text1"/>
          <w:sz w:val="24"/>
          <w:szCs w:val="24"/>
        </w:rPr>
        <w:t xml:space="preserve"> and requested that the case be transferred to the Northern District of California where </w:t>
      </w:r>
      <w:r w:rsidRPr="007119E5">
        <w:rPr>
          <w:i/>
          <w:iCs/>
          <w:color w:val="000000" w:themeColor="text1"/>
          <w:sz w:val="24"/>
          <w:szCs w:val="24"/>
        </w:rPr>
        <w:t xml:space="preserve">Dent </w:t>
      </w:r>
      <w:r w:rsidRPr="008132E3">
        <w:rPr>
          <w:color w:val="000000" w:themeColor="text1"/>
          <w:sz w:val="24"/>
          <w:szCs w:val="24"/>
        </w:rPr>
        <w:t>was decided.</w:t>
      </w:r>
      <w:r>
        <w:rPr>
          <w:rStyle w:val="FootnoteReference"/>
          <w:color w:val="000000" w:themeColor="text1"/>
          <w:sz w:val="24"/>
          <w:szCs w:val="24"/>
        </w:rPr>
        <w:footnoteReference w:id="53"/>
      </w:r>
      <w:r w:rsidRPr="008132E3">
        <w:rPr>
          <w:color w:val="000000" w:themeColor="text1"/>
          <w:sz w:val="24"/>
          <w:szCs w:val="24"/>
        </w:rPr>
        <w:t xml:space="preserve"> The </w:t>
      </w:r>
      <w:r>
        <w:rPr>
          <w:color w:val="000000" w:themeColor="text1"/>
          <w:sz w:val="24"/>
          <w:szCs w:val="24"/>
        </w:rPr>
        <w:t xml:space="preserve">court granted the </w:t>
      </w:r>
      <w:r w:rsidRPr="008132E3">
        <w:rPr>
          <w:color w:val="000000" w:themeColor="text1"/>
          <w:sz w:val="24"/>
          <w:szCs w:val="24"/>
        </w:rPr>
        <w:t xml:space="preserve">defendant’s motion </w:t>
      </w:r>
      <w:r>
        <w:rPr>
          <w:color w:val="000000" w:themeColor="text1"/>
          <w:sz w:val="24"/>
          <w:szCs w:val="24"/>
        </w:rPr>
        <w:t>for transfer</w:t>
      </w:r>
      <w:r w:rsidRPr="008132E3">
        <w:rPr>
          <w:color w:val="000000" w:themeColor="text1"/>
          <w:sz w:val="24"/>
          <w:szCs w:val="24"/>
        </w:rPr>
        <w:t>.</w:t>
      </w:r>
      <w:r>
        <w:rPr>
          <w:rStyle w:val="FootnoteReference"/>
          <w:color w:val="000000" w:themeColor="text1"/>
          <w:sz w:val="24"/>
          <w:szCs w:val="24"/>
        </w:rPr>
        <w:footnoteReference w:id="54"/>
      </w:r>
    </w:p>
    <w:p w14:paraId="7991CEB2" w14:textId="0B003755" w:rsidR="005B4449" w:rsidRPr="008132E3" w:rsidRDefault="005B4449" w:rsidP="00E021FB">
      <w:pPr>
        <w:pStyle w:val="NormalWeb"/>
        <w:ind w:firstLine="720"/>
        <w:contextualSpacing/>
        <w:jc w:val="both"/>
        <w:textAlignment w:val="baseline"/>
        <w:rPr>
          <w:color w:val="000000" w:themeColor="text1"/>
          <w:sz w:val="24"/>
          <w:szCs w:val="24"/>
        </w:rPr>
      </w:pPr>
      <w:r w:rsidRPr="008132E3">
        <w:rPr>
          <w:color w:val="000000" w:themeColor="text1"/>
          <w:sz w:val="24"/>
          <w:szCs w:val="24"/>
        </w:rPr>
        <w:t xml:space="preserve">In a surprising </w:t>
      </w:r>
      <w:r>
        <w:rPr>
          <w:color w:val="000000" w:themeColor="text1"/>
          <w:sz w:val="24"/>
          <w:szCs w:val="24"/>
        </w:rPr>
        <w:t>decision</w:t>
      </w:r>
      <w:r w:rsidRPr="008132E3">
        <w:rPr>
          <w:color w:val="000000" w:themeColor="text1"/>
          <w:sz w:val="24"/>
          <w:szCs w:val="24"/>
        </w:rPr>
        <w:t>, the court denied the franchise</w:t>
      </w:r>
      <w:r>
        <w:rPr>
          <w:color w:val="000000" w:themeColor="text1"/>
          <w:sz w:val="24"/>
          <w:szCs w:val="24"/>
        </w:rPr>
        <w:t>e</w:t>
      </w:r>
      <w:r w:rsidRPr="008132E3">
        <w:rPr>
          <w:color w:val="000000" w:themeColor="text1"/>
          <w:sz w:val="24"/>
          <w:szCs w:val="24"/>
        </w:rPr>
        <w:t>s</w:t>
      </w:r>
      <w:r w:rsidR="00353A27">
        <w:rPr>
          <w:color w:val="000000" w:themeColor="text1"/>
          <w:sz w:val="24"/>
          <w:szCs w:val="24"/>
        </w:rPr>
        <w:t>’</w:t>
      </w:r>
      <w:r w:rsidRPr="008132E3">
        <w:rPr>
          <w:color w:val="000000" w:themeColor="text1"/>
          <w:sz w:val="24"/>
          <w:szCs w:val="24"/>
        </w:rPr>
        <w:t xml:space="preserve"> motion to dismiss under </w:t>
      </w:r>
      <w:r w:rsidR="00A175D2">
        <w:rPr>
          <w:color w:val="000000" w:themeColor="text1"/>
          <w:sz w:val="24"/>
          <w:szCs w:val="24"/>
        </w:rPr>
        <w:t>Section 301</w:t>
      </w:r>
      <w:r>
        <w:rPr>
          <w:color w:val="000000" w:themeColor="text1"/>
          <w:sz w:val="24"/>
          <w:szCs w:val="24"/>
        </w:rPr>
        <w:t>,</w:t>
      </w:r>
      <w:r w:rsidRPr="008132E3">
        <w:rPr>
          <w:color w:val="000000" w:themeColor="text1"/>
          <w:sz w:val="24"/>
          <w:szCs w:val="24"/>
        </w:rPr>
        <w:t xml:space="preserve"> drawing two clear distinctions from </w:t>
      </w:r>
      <w:r w:rsidRPr="007119E5">
        <w:rPr>
          <w:i/>
          <w:iCs/>
          <w:color w:val="000000" w:themeColor="text1"/>
          <w:sz w:val="24"/>
          <w:szCs w:val="24"/>
        </w:rPr>
        <w:t>Dent</w:t>
      </w:r>
      <w:r w:rsidRPr="008132E3">
        <w:rPr>
          <w:color w:val="000000" w:themeColor="text1"/>
          <w:sz w:val="24"/>
          <w:szCs w:val="24"/>
        </w:rPr>
        <w:t>.</w:t>
      </w:r>
      <w:r>
        <w:rPr>
          <w:rStyle w:val="FootnoteReference"/>
          <w:color w:val="000000" w:themeColor="text1"/>
          <w:sz w:val="24"/>
          <w:szCs w:val="24"/>
        </w:rPr>
        <w:footnoteReference w:id="55"/>
      </w:r>
      <w:r>
        <w:rPr>
          <w:color w:val="000000" w:themeColor="text1"/>
          <w:sz w:val="24"/>
          <w:szCs w:val="24"/>
        </w:rPr>
        <w:t xml:space="preserve"> </w:t>
      </w:r>
      <w:r w:rsidRPr="008132E3">
        <w:rPr>
          <w:color w:val="000000" w:themeColor="text1"/>
          <w:sz w:val="24"/>
          <w:szCs w:val="24"/>
        </w:rPr>
        <w:t xml:space="preserve">First, the court reasoned the claim was directed at the individual clubs themselves instead of </w:t>
      </w:r>
      <w:r>
        <w:rPr>
          <w:color w:val="000000" w:themeColor="text1"/>
          <w:sz w:val="24"/>
          <w:szCs w:val="24"/>
        </w:rPr>
        <w:t>the League</w:t>
      </w:r>
      <w:r w:rsidRPr="008132E3">
        <w:rPr>
          <w:color w:val="000000" w:themeColor="text1"/>
          <w:sz w:val="24"/>
          <w:szCs w:val="24"/>
        </w:rPr>
        <w:t>.</w:t>
      </w:r>
      <w:r>
        <w:rPr>
          <w:rStyle w:val="FootnoteReference"/>
          <w:color w:val="000000" w:themeColor="text1"/>
          <w:sz w:val="24"/>
          <w:szCs w:val="24"/>
        </w:rPr>
        <w:footnoteReference w:id="56"/>
      </w:r>
      <w:r w:rsidRPr="008132E3">
        <w:rPr>
          <w:color w:val="000000" w:themeColor="text1"/>
          <w:sz w:val="24"/>
          <w:szCs w:val="24"/>
        </w:rPr>
        <w:t xml:space="preserve"> For the second distinction, the court reasoned that the claims were directed at intentional conduct</w:t>
      </w:r>
      <w:r w:rsidRPr="008132E3">
        <w:rPr>
          <w:rStyle w:val="apple-converted-space"/>
          <w:color w:val="000000" w:themeColor="text1"/>
          <w:sz w:val="24"/>
          <w:szCs w:val="24"/>
        </w:rPr>
        <w:t> </w:t>
      </w:r>
      <w:r w:rsidRPr="008132E3">
        <w:rPr>
          <w:color w:val="000000" w:themeColor="text1"/>
          <w:sz w:val="24"/>
          <w:szCs w:val="24"/>
        </w:rPr>
        <w:t>in violation of the relevant statutes</w:t>
      </w:r>
      <w:r>
        <w:rPr>
          <w:color w:val="000000" w:themeColor="text1"/>
          <w:sz w:val="24"/>
          <w:szCs w:val="24"/>
        </w:rPr>
        <w:t>,</w:t>
      </w:r>
      <w:r w:rsidRPr="008132E3">
        <w:rPr>
          <w:color w:val="000000" w:themeColor="text1"/>
          <w:sz w:val="24"/>
          <w:szCs w:val="24"/>
        </w:rPr>
        <w:t xml:space="preserve"> </w:t>
      </w:r>
      <w:r>
        <w:rPr>
          <w:color w:val="000000" w:themeColor="text1"/>
          <w:sz w:val="24"/>
          <w:szCs w:val="24"/>
        </w:rPr>
        <w:t>instead of</w:t>
      </w:r>
      <w:r w:rsidRPr="008132E3">
        <w:rPr>
          <w:color w:val="000000" w:themeColor="text1"/>
          <w:sz w:val="24"/>
          <w:szCs w:val="24"/>
        </w:rPr>
        <w:t xml:space="preserve"> negligence.</w:t>
      </w:r>
      <w:r>
        <w:rPr>
          <w:rStyle w:val="FootnoteReference"/>
          <w:color w:val="000000" w:themeColor="text1"/>
          <w:sz w:val="24"/>
          <w:szCs w:val="24"/>
        </w:rPr>
        <w:footnoteReference w:id="57"/>
      </w:r>
      <w:r w:rsidRPr="008132E3">
        <w:rPr>
          <w:color w:val="000000" w:themeColor="text1"/>
          <w:sz w:val="24"/>
          <w:szCs w:val="24"/>
        </w:rPr>
        <w:t xml:space="preserve"> The court stated that these distinctions were significant for two reasons.</w:t>
      </w:r>
      <w:r>
        <w:rPr>
          <w:rStyle w:val="FootnoteReference"/>
          <w:color w:val="000000" w:themeColor="text1"/>
          <w:sz w:val="24"/>
          <w:szCs w:val="24"/>
        </w:rPr>
        <w:footnoteReference w:id="58"/>
      </w:r>
    </w:p>
    <w:p w14:paraId="69B36DF6" w14:textId="365B9A2F" w:rsidR="005B4449" w:rsidRPr="008132E3" w:rsidRDefault="005B4449" w:rsidP="00E021FB">
      <w:pPr>
        <w:pStyle w:val="NormalWeb"/>
        <w:ind w:firstLine="720"/>
        <w:contextualSpacing/>
        <w:jc w:val="both"/>
        <w:textAlignment w:val="baseline"/>
        <w:rPr>
          <w:color w:val="000000" w:themeColor="text1"/>
          <w:sz w:val="24"/>
          <w:szCs w:val="24"/>
        </w:rPr>
      </w:pPr>
      <w:r w:rsidRPr="008132E3">
        <w:rPr>
          <w:color w:val="000000" w:themeColor="text1"/>
          <w:sz w:val="24"/>
          <w:szCs w:val="24"/>
        </w:rPr>
        <w:t xml:space="preserve">First, under </w:t>
      </w:r>
      <w:r w:rsidRPr="004F0E72">
        <w:rPr>
          <w:i/>
          <w:iCs/>
          <w:color w:val="000000" w:themeColor="text1"/>
          <w:sz w:val="24"/>
          <w:szCs w:val="24"/>
        </w:rPr>
        <w:t>Dent</w:t>
      </w:r>
      <w:r>
        <w:rPr>
          <w:i/>
          <w:iCs/>
          <w:color w:val="000000" w:themeColor="text1"/>
          <w:sz w:val="24"/>
          <w:szCs w:val="24"/>
        </w:rPr>
        <w:t>,</w:t>
      </w:r>
      <w:r w:rsidRPr="008132E3">
        <w:rPr>
          <w:color w:val="000000" w:themeColor="text1"/>
          <w:sz w:val="24"/>
          <w:szCs w:val="24"/>
        </w:rPr>
        <w:t xml:space="preserve"> the court would be evaluating any possible negligence by the NFL itself, and this would require analyzing what </w:t>
      </w:r>
      <w:r w:rsidRPr="008132E3">
        <w:rPr>
          <w:color w:val="000000" w:themeColor="text1"/>
          <w:sz w:val="24"/>
          <w:szCs w:val="24"/>
        </w:rPr>
        <w:lastRenderedPageBreak/>
        <w:t>the NFL had affirmatively done in its CBAs to protect the health of the players through the individual clubs.</w:t>
      </w:r>
      <w:r>
        <w:rPr>
          <w:rStyle w:val="FootnoteReference"/>
          <w:color w:val="000000" w:themeColor="text1"/>
          <w:sz w:val="24"/>
          <w:szCs w:val="24"/>
        </w:rPr>
        <w:footnoteReference w:id="59"/>
      </w:r>
      <w:r w:rsidRPr="008132E3">
        <w:rPr>
          <w:color w:val="000000" w:themeColor="text1"/>
          <w:sz w:val="24"/>
          <w:szCs w:val="24"/>
        </w:rPr>
        <w:t xml:space="preserve"> In contrast, in </w:t>
      </w:r>
      <w:r w:rsidRPr="004F0E72">
        <w:rPr>
          <w:i/>
          <w:iCs/>
          <w:color w:val="000000" w:themeColor="text1"/>
          <w:sz w:val="24"/>
          <w:szCs w:val="24"/>
        </w:rPr>
        <w:t>Evans</w:t>
      </w:r>
      <w:r w:rsidRPr="008132E3">
        <w:rPr>
          <w:color w:val="000000" w:themeColor="text1"/>
          <w:sz w:val="24"/>
          <w:szCs w:val="24"/>
        </w:rPr>
        <w:t xml:space="preserve"> the complaint was directed at the specific clubs themselves, thus the CBA would not need to be evaluated</w:t>
      </w:r>
      <w:r>
        <w:rPr>
          <w:color w:val="000000" w:themeColor="text1"/>
          <w:sz w:val="24"/>
          <w:szCs w:val="24"/>
        </w:rPr>
        <w:t>,</w:t>
      </w:r>
      <w:r w:rsidRPr="008132E3">
        <w:rPr>
          <w:color w:val="000000" w:themeColor="text1"/>
          <w:sz w:val="24"/>
          <w:szCs w:val="24"/>
        </w:rPr>
        <w:t xml:space="preserve"> as in </w:t>
      </w:r>
      <w:r w:rsidRPr="004F0E72">
        <w:rPr>
          <w:i/>
          <w:iCs/>
          <w:color w:val="000000" w:themeColor="text1"/>
          <w:sz w:val="24"/>
          <w:szCs w:val="24"/>
        </w:rPr>
        <w:t>Dent</w:t>
      </w:r>
      <w:r>
        <w:rPr>
          <w:color w:val="000000" w:themeColor="text1"/>
          <w:sz w:val="24"/>
          <w:szCs w:val="24"/>
        </w:rPr>
        <w:t xml:space="preserve">, </w:t>
      </w:r>
      <w:r w:rsidRPr="008132E3">
        <w:rPr>
          <w:color w:val="000000" w:themeColor="text1"/>
          <w:sz w:val="24"/>
          <w:szCs w:val="24"/>
        </w:rPr>
        <w:t>because only the specific clubs</w:t>
      </w:r>
      <w:r>
        <w:rPr>
          <w:color w:val="000000" w:themeColor="text1"/>
          <w:sz w:val="24"/>
          <w:szCs w:val="24"/>
        </w:rPr>
        <w:t>’ conduct</w:t>
      </w:r>
      <w:r w:rsidRPr="008132E3">
        <w:rPr>
          <w:color w:val="000000" w:themeColor="text1"/>
          <w:sz w:val="24"/>
          <w:szCs w:val="24"/>
        </w:rPr>
        <w:t xml:space="preserve"> would need to be evaluated.</w:t>
      </w:r>
      <w:r>
        <w:rPr>
          <w:rStyle w:val="FootnoteReference"/>
          <w:color w:val="000000" w:themeColor="text1"/>
          <w:sz w:val="24"/>
          <w:szCs w:val="24"/>
        </w:rPr>
        <w:footnoteReference w:id="60"/>
      </w:r>
      <w:r w:rsidRPr="008132E3">
        <w:rPr>
          <w:color w:val="000000" w:themeColor="text1"/>
          <w:sz w:val="24"/>
          <w:szCs w:val="24"/>
        </w:rPr>
        <w:t xml:space="preserve"> </w:t>
      </w:r>
    </w:p>
    <w:p w14:paraId="0EC490F6" w14:textId="2F5DC650" w:rsidR="005B4449" w:rsidRDefault="005B4449" w:rsidP="00E021FB">
      <w:pPr>
        <w:pStyle w:val="NormalWeb"/>
        <w:ind w:firstLine="720"/>
        <w:contextualSpacing/>
        <w:jc w:val="both"/>
        <w:textAlignment w:val="baseline"/>
        <w:rPr>
          <w:color w:val="000000" w:themeColor="text1"/>
          <w:sz w:val="24"/>
          <w:szCs w:val="24"/>
        </w:rPr>
      </w:pPr>
      <w:r w:rsidRPr="008132E3">
        <w:rPr>
          <w:color w:val="000000" w:themeColor="text1"/>
          <w:sz w:val="24"/>
          <w:szCs w:val="24"/>
        </w:rPr>
        <w:t xml:space="preserve">Second, the claims in </w:t>
      </w:r>
      <w:r w:rsidRPr="004F0E72">
        <w:rPr>
          <w:i/>
          <w:iCs/>
          <w:color w:val="000000" w:themeColor="text1"/>
          <w:sz w:val="24"/>
          <w:szCs w:val="24"/>
        </w:rPr>
        <w:t>Evans</w:t>
      </w:r>
      <w:r w:rsidRPr="008132E3">
        <w:rPr>
          <w:color w:val="000000" w:themeColor="text1"/>
          <w:sz w:val="24"/>
          <w:szCs w:val="24"/>
        </w:rPr>
        <w:t xml:space="preserve"> were grounded in illegal conduct of the clubs themselves and not negligence on behalf of the NFL as in </w:t>
      </w:r>
      <w:r w:rsidRPr="004F0E72">
        <w:rPr>
          <w:i/>
          <w:iCs/>
          <w:color w:val="000000" w:themeColor="text1"/>
          <w:sz w:val="24"/>
          <w:szCs w:val="24"/>
        </w:rPr>
        <w:t>Dent</w:t>
      </w:r>
      <w:r w:rsidRPr="008132E3">
        <w:rPr>
          <w:color w:val="000000" w:themeColor="text1"/>
          <w:sz w:val="24"/>
          <w:szCs w:val="24"/>
        </w:rPr>
        <w:t>.</w:t>
      </w:r>
      <w:r>
        <w:rPr>
          <w:rStyle w:val="FootnoteReference"/>
          <w:color w:val="000000" w:themeColor="text1"/>
          <w:sz w:val="24"/>
          <w:szCs w:val="24"/>
        </w:rPr>
        <w:footnoteReference w:id="61"/>
      </w:r>
      <w:r w:rsidRPr="008132E3">
        <w:rPr>
          <w:color w:val="000000" w:themeColor="text1"/>
          <w:sz w:val="24"/>
          <w:szCs w:val="24"/>
        </w:rPr>
        <w:t xml:space="preserve"> Because of this, the complaint falls under the illegality exception, which states that </w:t>
      </w:r>
      <w:r w:rsidR="00A175D2">
        <w:rPr>
          <w:color w:val="000000" w:themeColor="text1"/>
          <w:sz w:val="24"/>
          <w:szCs w:val="24"/>
        </w:rPr>
        <w:t>Section 301</w:t>
      </w:r>
      <w:r w:rsidRPr="008132E3">
        <w:rPr>
          <w:color w:val="000000" w:themeColor="text1"/>
          <w:sz w:val="24"/>
          <w:szCs w:val="24"/>
        </w:rPr>
        <w:t xml:space="preserve"> of the LMRA does not grant parties to a CBA the ability to contract for what is illegal.</w:t>
      </w:r>
      <w:r>
        <w:rPr>
          <w:rStyle w:val="FootnoteReference"/>
          <w:color w:val="000000" w:themeColor="text1"/>
          <w:sz w:val="24"/>
          <w:szCs w:val="24"/>
        </w:rPr>
        <w:footnoteReference w:id="62"/>
      </w:r>
      <w:r w:rsidRPr="008132E3">
        <w:rPr>
          <w:color w:val="000000" w:themeColor="text1"/>
          <w:sz w:val="24"/>
          <w:szCs w:val="24"/>
        </w:rPr>
        <w:t xml:space="preserve"> Thus, the CBA would not need to be referenced and the claims are not preempted under </w:t>
      </w:r>
      <w:r w:rsidR="00A175D2">
        <w:rPr>
          <w:color w:val="000000" w:themeColor="text1"/>
          <w:sz w:val="24"/>
          <w:szCs w:val="24"/>
        </w:rPr>
        <w:t>Section 301</w:t>
      </w:r>
      <w:r w:rsidRPr="008132E3">
        <w:rPr>
          <w:color w:val="000000" w:themeColor="text1"/>
          <w:sz w:val="24"/>
          <w:szCs w:val="24"/>
        </w:rPr>
        <w:t>.</w:t>
      </w:r>
      <w:r>
        <w:rPr>
          <w:rStyle w:val="FootnoteReference"/>
          <w:color w:val="000000" w:themeColor="text1"/>
          <w:sz w:val="24"/>
          <w:szCs w:val="24"/>
        </w:rPr>
        <w:footnoteReference w:id="63"/>
      </w:r>
      <w:r w:rsidRPr="008132E3">
        <w:rPr>
          <w:color w:val="000000" w:themeColor="text1"/>
          <w:sz w:val="24"/>
          <w:szCs w:val="24"/>
        </w:rPr>
        <w:t xml:space="preserve"> In short, the Court established in </w:t>
      </w:r>
      <w:r w:rsidRPr="00DF1E3A">
        <w:rPr>
          <w:i/>
          <w:iCs/>
          <w:color w:val="000000" w:themeColor="text1"/>
          <w:sz w:val="24"/>
          <w:szCs w:val="24"/>
        </w:rPr>
        <w:t xml:space="preserve">Evans </w:t>
      </w:r>
      <w:r w:rsidRPr="008132E3">
        <w:rPr>
          <w:color w:val="000000" w:themeColor="text1"/>
          <w:sz w:val="24"/>
          <w:szCs w:val="24"/>
        </w:rPr>
        <w:t>that players could bring suit for intentional representation against the individual clubs, but not against the NFL itself.</w:t>
      </w:r>
      <w:r>
        <w:rPr>
          <w:rStyle w:val="FootnoteReference"/>
          <w:color w:val="000000" w:themeColor="text1"/>
          <w:sz w:val="24"/>
          <w:szCs w:val="24"/>
        </w:rPr>
        <w:footnoteReference w:id="64"/>
      </w:r>
    </w:p>
    <w:p w14:paraId="32FDEBB8" w14:textId="77777777" w:rsidR="00E021FB" w:rsidRPr="008132E3" w:rsidRDefault="00E021FB" w:rsidP="00E021FB">
      <w:pPr>
        <w:pStyle w:val="NormalWeb"/>
        <w:ind w:firstLine="720"/>
        <w:contextualSpacing/>
        <w:jc w:val="both"/>
        <w:textAlignment w:val="baseline"/>
        <w:rPr>
          <w:color w:val="000000" w:themeColor="text1"/>
          <w:sz w:val="24"/>
          <w:szCs w:val="24"/>
        </w:rPr>
      </w:pPr>
    </w:p>
    <w:p w14:paraId="2648CBAF" w14:textId="2991BF66" w:rsidR="005B4449" w:rsidRPr="005C6C3F" w:rsidRDefault="005B4449" w:rsidP="00E4293A">
      <w:pPr>
        <w:pStyle w:val="NormalWeb"/>
        <w:numPr>
          <w:ilvl w:val="1"/>
          <w:numId w:val="18"/>
        </w:numPr>
        <w:ind w:left="0" w:firstLine="0"/>
        <w:contextualSpacing/>
        <w:jc w:val="center"/>
        <w:textAlignment w:val="baseline"/>
        <w:rPr>
          <w:b/>
          <w:bCs/>
          <w:smallCaps/>
          <w:color w:val="000000" w:themeColor="text1"/>
          <w:sz w:val="24"/>
          <w:szCs w:val="24"/>
        </w:rPr>
      </w:pPr>
      <w:r w:rsidRPr="005C6C3F">
        <w:rPr>
          <w:b/>
          <w:bCs/>
          <w:i/>
          <w:iCs/>
          <w:smallCaps/>
          <w:color w:val="000000" w:themeColor="text1"/>
          <w:sz w:val="24"/>
          <w:szCs w:val="24"/>
        </w:rPr>
        <w:t xml:space="preserve">Dent v. </w:t>
      </w:r>
      <w:proofErr w:type="spellStart"/>
      <w:r w:rsidR="00310C02" w:rsidRPr="00310C02">
        <w:rPr>
          <w:b/>
          <w:i/>
          <w:smallCaps/>
          <w:sz w:val="24"/>
          <w:szCs w:val="24"/>
          <w:lang w:eastAsia="zh-CN"/>
        </w:rPr>
        <w:t>Nat’l</w:t>
      </w:r>
      <w:proofErr w:type="spellEnd"/>
      <w:r w:rsidR="00310C02" w:rsidRPr="00310C02">
        <w:rPr>
          <w:b/>
          <w:i/>
          <w:smallCaps/>
          <w:sz w:val="24"/>
          <w:szCs w:val="24"/>
          <w:lang w:eastAsia="zh-CN"/>
        </w:rPr>
        <w:t xml:space="preserve"> Football League</w:t>
      </w:r>
      <w:r w:rsidRPr="005C6C3F">
        <w:rPr>
          <w:b/>
          <w:bCs/>
          <w:smallCaps/>
          <w:color w:val="000000" w:themeColor="text1"/>
          <w:sz w:val="24"/>
          <w:szCs w:val="24"/>
        </w:rPr>
        <w:t>, 2018</w:t>
      </w:r>
    </w:p>
    <w:p w14:paraId="09432CF4" w14:textId="77777777" w:rsidR="00E021FB" w:rsidRDefault="00E021FB" w:rsidP="00E021FB">
      <w:pPr>
        <w:pStyle w:val="NormalWeb"/>
        <w:ind w:firstLine="720"/>
        <w:contextualSpacing/>
        <w:jc w:val="both"/>
        <w:textAlignment w:val="baseline"/>
        <w:rPr>
          <w:color w:val="000000" w:themeColor="text1"/>
          <w:sz w:val="24"/>
          <w:szCs w:val="24"/>
        </w:rPr>
      </w:pPr>
    </w:p>
    <w:p w14:paraId="51BAD15D" w14:textId="498DFAAB" w:rsidR="005B4449" w:rsidRPr="008132E3" w:rsidRDefault="005B4449" w:rsidP="00E021FB">
      <w:pPr>
        <w:pStyle w:val="NormalWeb"/>
        <w:ind w:firstLine="720"/>
        <w:contextualSpacing/>
        <w:jc w:val="both"/>
        <w:textAlignment w:val="baseline"/>
        <w:rPr>
          <w:color w:val="000000" w:themeColor="text1"/>
          <w:sz w:val="24"/>
          <w:szCs w:val="24"/>
        </w:rPr>
      </w:pPr>
      <w:r w:rsidRPr="008132E3">
        <w:rPr>
          <w:color w:val="000000" w:themeColor="text1"/>
          <w:sz w:val="24"/>
          <w:szCs w:val="24"/>
        </w:rPr>
        <w:t xml:space="preserve">Moving forward, </w:t>
      </w:r>
      <w:r w:rsidRPr="004F0E72">
        <w:rPr>
          <w:i/>
          <w:iCs/>
          <w:color w:val="000000" w:themeColor="text1"/>
          <w:sz w:val="24"/>
          <w:szCs w:val="24"/>
        </w:rPr>
        <w:t xml:space="preserve">Dent </w:t>
      </w:r>
      <w:r>
        <w:rPr>
          <w:color w:val="000000" w:themeColor="text1"/>
          <w:sz w:val="24"/>
          <w:szCs w:val="24"/>
        </w:rPr>
        <w:t xml:space="preserve">experienced </w:t>
      </w:r>
      <w:r w:rsidRPr="008132E3">
        <w:rPr>
          <w:color w:val="000000" w:themeColor="text1"/>
          <w:sz w:val="24"/>
          <w:szCs w:val="24"/>
        </w:rPr>
        <w:t>a revival in 2018.</w:t>
      </w:r>
      <w:r>
        <w:rPr>
          <w:rStyle w:val="FootnoteReference"/>
          <w:color w:val="000000" w:themeColor="text1"/>
          <w:sz w:val="24"/>
          <w:szCs w:val="24"/>
        </w:rPr>
        <w:footnoteReference w:id="65"/>
      </w:r>
      <w:r w:rsidRPr="008132E3">
        <w:rPr>
          <w:color w:val="000000" w:themeColor="text1"/>
          <w:sz w:val="24"/>
          <w:szCs w:val="24"/>
        </w:rPr>
        <w:t xml:space="preserve"> Stemming from the decision in the </w:t>
      </w:r>
      <w:r>
        <w:rPr>
          <w:color w:val="000000" w:themeColor="text1"/>
          <w:sz w:val="24"/>
          <w:szCs w:val="24"/>
        </w:rPr>
        <w:t>2014</w:t>
      </w:r>
      <w:r w:rsidRPr="008132E3">
        <w:rPr>
          <w:color w:val="000000" w:themeColor="text1"/>
          <w:sz w:val="24"/>
          <w:szCs w:val="24"/>
        </w:rPr>
        <w:t xml:space="preserve"> </w:t>
      </w:r>
      <w:r w:rsidRPr="007119E5">
        <w:rPr>
          <w:i/>
          <w:iCs/>
          <w:color w:val="000000" w:themeColor="text1"/>
          <w:sz w:val="24"/>
          <w:szCs w:val="24"/>
        </w:rPr>
        <w:t>Dent</w:t>
      </w:r>
      <w:r w:rsidRPr="008132E3">
        <w:rPr>
          <w:color w:val="000000" w:themeColor="text1"/>
          <w:sz w:val="24"/>
          <w:szCs w:val="24"/>
        </w:rPr>
        <w:t xml:space="preserve"> case, the players challenged the district court’s decision </w:t>
      </w:r>
      <w:r>
        <w:rPr>
          <w:color w:val="000000" w:themeColor="text1"/>
          <w:sz w:val="24"/>
          <w:szCs w:val="24"/>
        </w:rPr>
        <w:t xml:space="preserve">in an appeal </w:t>
      </w:r>
      <w:r w:rsidRPr="008132E3">
        <w:rPr>
          <w:color w:val="000000" w:themeColor="text1"/>
          <w:sz w:val="24"/>
          <w:szCs w:val="24"/>
        </w:rPr>
        <w:t>before a three-judge panel of the Ninth Circuit Court of Appeals.</w:t>
      </w:r>
      <w:r>
        <w:rPr>
          <w:rStyle w:val="FootnoteReference"/>
          <w:color w:val="000000" w:themeColor="text1"/>
          <w:sz w:val="24"/>
          <w:szCs w:val="24"/>
        </w:rPr>
        <w:footnoteReference w:id="66"/>
      </w:r>
      <w:r w:rsidRPr="008132E3">
        <w:rPr>
          <w:color w:val="000000" w:themeColor="text1"/>
          <w:sz w:val="24"/>
          <w:szCs w:val="24"/>
        </w:rPr>
        <w:t xml:space="preserve"> During the 2018 appeal, the issue before the </w:t>
      </w:r>
      <w:r>
        <w:rPr>
          <w:color w:val="000000" w:themeColor="text1"/>
          <w:sz w:val="24"/>
          <w:szCs w:val="24"/>
        </w:rPr>
        <w:t>c</w:t>
      </w:r>
      <w:r w:rsidRPr="008132E3">
        <w:rPr>
          <w:color w:val="000000" w:themeColor="text1"/>
          <w:sz w:val="24"/>
          <w:szCs w:val="24"/>
        </w:rPr>
        <w:t xml:space="preserve">ourt of </w:t>
      </w:r>
      <w:r>
        <w:rPr>
          <w:color w:val="000000" w:themeColor="text1"/>
          <w:sz w:val="24"/>
          <w:szCs w:val="24"/>
        </w:rPr>
        <w:t>a</w:t>
      </w:r>
      <w:r w:rsidRPr="008132E3">
        <w:rPr>
          <w:color w:val="000000" w:themeColor="text1"/>
          <w:sz w:val="24"/>
          <w:szCs w:val="24"/>
        </w:rPr>
        <w:t>ppeals was whether the plaintiffs</w:t>
      </w:r>
      <w:r w:rsidR="00353A27">
        <w:rPr>
          <w:color w:val="000000" w:themeColor="text1"/>
          <w:sz w:val="24"/>
          <w:szCs w:val="24"/>
        </w:rPr>
        <w:t>’</w:t>
      </w:r>
      <w:r w:rsidRPr="008132E3">
        <w:rPr>
          <w:color w:val="000000" w:themeColor="text1"/>
          <w:sz w:val="24"/>
          <w:szCs w:val="24"/>
        </w:rPr>
        <w:t xml:space="preserve"> state law claims under fraud and negligence required interpretation of or arose from the Collective Bargaining Agreement.</w:t>
      </w:r>
      <w:r>
        <w:rPr>
          <w:rStyle w:val="FootnoteReference"/>
          <w:color w:val="000000" w:themeColor="text1"/>
          <w:sz w:val="24"/>
          <w:szCs w:val="24"/>
        </w:rPr>
        <w:footnoteReference w:id="67"/>
      </w:r>
      <w:r w:rsidRPr="008132E3">
        <w:rPr>
          <w:color w:val="000000" w:themeColor="text1"/>
          <w:sz w:val="24"/>
          <w:szCs w:val="24"/>
        </w:rPr>
        <w:t xml:space="preserve"> The </w:t>
      </w:r>
      <w:r>
        <w:rPr>
          <w:color w:val="000000" w:themeColor="text1"/>
          <w:sz w:val="24"/>
          <w:szCs w:val="24"/>
        </w:rPr>
        <w:t xml:space="preserve">Ninth Circuit </w:t>
      </w:r>
      <w:r w:rsidRPr="008132E3">
        <w:rPr>
          <w:color w:val="000000" w:themeColor="text1"/>
          <w:sz w:val="24"/>
          <w:szCs w:val="24"/>
        </w:rPr>
        <w:t>emphasized that its role at this current stage of litigation was to take the allegations as true.</w:t>
      </w:r>
      <w:r>
        <w:rPr>
          <w:rStyle w:val="FootnoteReference"/>
          <w:color w:val="000000" w:themeColor="text1"/>
          <w:sz w:val="24"/>
          <w:szCs w:val="24"/>
        </w:rPr>
        <w:footnoteReference w:id="68"/>
      </w:r>
      <w:r w:rsidRPr="008132E3">
        <w:rPr>
          <w:color w:val="000000" w:themeColor="text1"/>
          <w:sz w:val="24"/>
          <w:szCs w:val="24"/>
        </w:rPr>
        <w:t xml:space="preserve"> The court </w:t>
      </w:r>
      <w:r>
        <w:rPr>
          <w:color w:val="000000" w:themeColor="text1"/>
          <w:sz w:val="24"/>
          <w:szCs w:val="24"/>
        </w:rPr>
        <w:t xml:space="preserve">stated that </w:t>
      </w:r>
      <w:r w:rsidRPr="008132E3">
        <w:rPr>
          <w:color w:val="000000" w:themeColor="text1"/>
          <w:sz w:val="24"/>
          <w:szCs w:val="24"/>
        </w:rPr>
        <w:t xml:space="preserve">the forum preemption inquiry under </w:t>
      </w:r>
      <w:r w:rsidR="00A175D2">
        <w:rPr>
          <w:color w:val="000000" w:themeColor="text1"/>
          <w:sz w:val="24"/>
          <w:szCs w:val="24"/>
        </w:rPr>
        <w:t>Section 301</w:t>
      </w:r>
      <w:r w:rsidRPr="008132E3">
        <w:rPr>
          <w:color w:val="000000" w:themeColor="text1"/>
          <w:sz w:val="24"/>
          <w:szCs w:val="24"/>
        </w:rPr>
        <w:t xml:space="preserve"> of the Labor Management Relations Act is </w:t>
      </w:r>
      <w:r>
        <w:rPr>
          <w:color w:val="000000" w:themeColor="text1"/>
          <w:sz w:val="24"/>
          <w:szCs w:val="24"/>
        </w:rPr>
        <w:t>“</w:t>
      </w:r>
      <w:r w:rsidRPr="008132E3">
        <w:rPr>
          <w:color w:val="000000" w:themeColor="text1"/>
          <w:sz w:val="24"/>
          <w:szCs w:val="24"/>
        </w:rPr>
        <w:t>not an inquiry into the merits of a claim; it is an inquiry into the claim</w:t>
      </w:r>
      <w:r w:rsidR="00353A27">
        <w:rPr>
          <w:color w:val="000000" w:themeColor="text1"/>
          <w:sz w:val="24"/>
          <w:szCs w:val="24"/>
        </w:rPr>
        <w:t>’</w:t>
      </w:r>
      <w:r w:rsidRPr="008132E3">
        <w:rPr>
          <w:color w:val="000000" w:themeColor="text1"/>
          <w:sz w:val="24"/>
          <w:szCs w:val="24"/>
        </w:rPr>
        <w:t>s ‘legal character</w:t>
      </w:r>
      <w:r w:rsidR="00353A27">
        <w:rPr>
          <w:color w:val="000000" w:themeColor="text1"/>
          <w:sz w:val="24"/>
          <w:szCs w:val="24"/>
        </w:rPr>
        <w:t>’</w:t>
      </w:r>
      <w:r w:rsidRPr="008132E3">
        <w:rPr>
          <w:color w:val="000000" w:themeColor="text1"/>
          <w:sz w:val="24"/>
          <w:szCs w:val="24"/>
        </w:rPr>
        <w:t xml:space="preserve"> whatever its merits.</w:t>
      </w:r>
      <w:r w:rsidR="00353A27">
        <w:rPr>
          <w:color w:val="000000" w:themeColor="text1"/>
          <w:sz w:val="24"/>
          <w:szCs w:val="24"/>
        </w:rPr>
        <w:t>”</w:t>
      </w:r>
      <w:r>
        <w:rPr>
          <w:rStyle w:val="FootnoteReference"/>
          <w:color w:val="000000" w:themeColor="text1"/>
          <w:sz w:val="24"/>
          <w:szCs w:val="24"/>
        </w:rPr>
        <w:footnoteReference w:id="69"/>
      </w:r>
      <w:r w:rsidRPr="008132E3">
        <w:rPr>
          <w:color w:val="000000" w:themeColor="text1"/>
          <w:sz w:val="24"/>
          <w:szCs w:val="24"/>
        </w:rPr>
        <w:t xml:space="preserve"> </w:t>
      </w:r>
    </w:p>
    <w:p w14:paraId="06FEBFFE" w14:textId="43BD2A1A" w:rsidR="005B4449" w:rsidRPr="008132E3" w:rsidRDefault="005B4449" w:rsidP="00E021FB">
      <w:pPr>
        <w:pStyle w:val="NormalWeb"/>
        <w:ind w:firstLine="720"/>
        <w:contextualSpacing/>
        <w:jc w:val="both"/>
        <w:textAlignment w:val="baseline"/>
        <w:rPr>
          <w:color w:val="000000" w:themeColor="text1"/>
          <w:sz w:val="24"/>
          <w:szCs w:val="24"/>
        </w:rPr>
      </w:pPr>
      <w:r>
        <w:rPr>
          <w:color w:val="000000" w:themeColor="text1"/>
          <w:sz w:val="24"/>
          <w:szCs w:val="24"/>
        </w:rPr>
        <w:t>T</w:t>
      </w:r>
      <w:r w:rsidRPr="008132E3">
        <w:rPr>
          <w:color w:val="000000" w:themeColor="text1"/>
          <w:sz w:val="24"/>
          <w:szCs w:val="24"/>
        </w:rPr>
        <w:t>o make this determination, the Ninth Circuit settled on and conducted a two-step inquiry in determining whether state</w:t>
      </w:r>
      <w:r>
        <w:rPr>
          <w:color w:val="000000" w:themeColor="text1"/>
          <w:sz w:val="24"/>
          <w:szCs w:val="24"/>
        </w:rPr>
        <w:t xml:space="preserve"> </w:t>
      </w:r>
      <w:r w:rsidRPr="008132E3">
        <w:rPr>
          <w:color w:val="000000" w:themeColor="text1"/>
          <w:sz w:val="24"/>
          <w:szCs w:val="24"/>
        </w:rPr>
        <w:t xml:space="preserve">law </w:t>
      </w:r>
      <w:r w:rsidRPr="008132E3">
        <w:rPr>
          <w:color w:val="000000" w:themeColor="text1"/>
          <w:sz w:val="24"/>
          <w:szCs w:val="24"/>
        </w:rPr>
        <w:lastRenderedPageBreak/>
        <w:t xml:space="preserve">claims were preempted by </w:t>
      </w:r>
      <w:r w:rsidR="00A175D2">
        <w:rPr>
          <w:color w:val="000000" w:themeColor="text1"/>
          <w:sz w:val="24"/>
          <w:szCs w:val="24"/>
        </w:rPr>
        <w:t>Section 301</w:t>
      </w:r>
      <w:r w:rsidRPr="008132E3">
        <w:rPr>
          <w:color w:val="000000" w:themeColor="text1"/>
          <w:sz w:val="24"/>
          <w:szCs w:val="24"/>
        </w:rPr>
        <w:t>.</w:t>
      </w:r>
      <w:r>
        <w:rPr>
          <w:rStyle w:val="FootnoteReference"/>
          <w:color w:val="000000" w:themeColor="text1"/>
          <w:sz w:val="24"/>
          <w:szCs w:val="24"/>
        </w:rPr>
        <w:footnoteReference w:id="70"/>
      </w:r>
      <w:r w:rsidRPr="008132E3">
        <w:rPr>
          <w:color w:val="000000" w:themeColor="text1"/>
          <w:sz w:val="24"/>
          <w:szCs w:val="24"/>
        </w:rPr>
        <w:t xml:space="preserve"> First, the court asked, </w:t>
      </w:r>
      <w:r w:rsidR="0013617E">
        <w:rPr>
          <w:color w:val="000000" w:themeColor="text1"/>
          <w:sz w:val="24"/>
          <w:szCs w:val="24"/>
        </w:rPr>
        <w:t>“</w:t>
      </w:r>
      <w:r w:rsidRPr="008132E3">
        <w:rPr>
          <w:color w:val="000000" w:themeColor="text1"/>
          <w:sz w:val="24"/>
          <w:szCs w:val="24"/>
        </w:rPr>
        <w:t>whether the cause of action involves ‘rights conferred upon an employee by virtue of state law, not by a CBA.</w:t>
      </w:r>
      <w:r w:rsidR="0013617E">
        <w:rPr>
          <w:color w:val="000000" w:themeColor="text1"/>
          <w:sz w:val="24"/>
          <w:szCs w:val="24"/>
        </w:rPr>
        <w:t>’”</w:t>
      </w:r>
      <w:r>
        <w:rPr>
          <w:rStyle w:val="FootnoteReference"/>
          <w:color w:val="000000" w:themeColor="text1"/>
          <w:sz w:val="24"/>
          <w:szCs w:val="24"/>
        </w:rPr>
        <w:footnoteReference w:id="71"/>
      </w:r>
      <w:r w:rsidRPr="008132E3">
        <w:rPr>
          <w:rStyle w:val="apple-converted-space"/>
          <w:color w:val="000000" w:themeColor="text1"/>
          <w:sz w:val="24"/>
          <w:szCs w:val="24"/>
        </w:rPr>
        <w:t xml:space="preserve"> The court further stated, “</w:t>
      </w:r>
      <w:r w:rsidRPr="008132E3">
        <w:rPr>
          <w:color w:val="000000" w:themeColor="text1"/>
          <w:sz w:val="24"/>
          <w:szCs w:val="24"/>
        </w:rPr>
        <w:t>If the rights exist ‘solely’ from the CBA, then the claim is preempted.”</w:t>
      </w:r>
      <w:r>
        <w:rPr>
          <w:rStyle w:val="FootnoteReference"/>
          <w:color w:val="000000" w:themeColor="text1"/>
          <w:sz w:val="24"/>
          <w:szCs w:val="24"/>
        </w:rPr>
        <w:footnoteReference w:id="72"/>
      </w:r>
      <w:r w:rsidRPr="008132E3">
        <w:rPr>
          <w:color w:val="000000" w:themeColor="text1"/>
          <w:sz w:val="24"/>
          <w:szCs w:val="24"/>
        </w:rPr>
        <w:t xml:space="preserve"> Second, </w:t>
      </w:r>
      <w:r>
        <w:rPr>
          <w:color w:val="000000" w:themeColor="text1"/>
          <w:sz w:val="24"/>
          <w:szCs w:val="24"/>
        </w:rPr>
        <w:t xml:space="preserve">suppose </w:t>
      </w:r>
      <w:r w:rsidRPr="008132E3">
        <w:rPr>
          <w:color w:val="000000" w:themeColor="text1"/>
          <w:sz w:val="24"/>
          <w:szCs w:val="24"/>
        </w:rPr>
        <w:t xml:space="preserve">the rights are independent </w:t>
      </w:r>
      <w:r>
        <w:rPr>
          <w:color w:val="000000" w:themeColor="text1"/>
          <w:sz w:val="24"/>
          <w:szCs w:val="24"/>
        </w:rPr>
        <w:t>of</w:t>
      </w:r>
      <w:r w:rsidRPr="008132E3">
        <w:rPr>
          <w:color w:val="000000" w:themeColor="text1"/>
          <w:sz w:val="24"/>
          <w:szCs w:val="24"/>
        </w:rPr>
        <w:t xml:space="preserve"> the CBA</w:t>
      </w:r>
      <w:r>
        <w:rPr>
          <w:color w:val="000000" w:themeColor="text1"/>
          <w:sz w:val="24"/>
          <w:szCs w:val="24"/>
        </w:rPr>
        <w:t>.</w:t>
      </w:r>
      <w:r w:rsidRPr="008132E3">
        <w:rPr>
          <w:color w:val="000000" w:themeColor="text1"/>
          <w:sz w:val="24"/>
          <w:szCs w:val="24"/>
        </w:rPr>
        <w:t xml:space="preserve"> </w:t>
      </w:r>
      <w:r>
        <w:rPr>
          <w:color w:val="000000" w:themeColor="text1"/>
          <w:sz w:val="24"/>
          <w:szCs w:val="24"/>
        </w:rPr>
        <w:t xml:space="preserve">In that case, </w:t>
      </w:r>
      <w:r w:rsidRPr="008132E3">
        <w:rPr>
          <w:color w:val="000000" w:themeColor="text1"/>
          <w:sz w:val="24"/>
          <w:szCs w:val="24"/>
        </w:rPr>
        <w:t xml:space="preserve">the court asks whether </w:t>
      </w:r>
      <w:r>
        <w:rPr>
          <w:color w:val="000000" w:themeColor="text1"/>
          <w:sz w:val="24"/>
          <w:szCs w:val="24"/>
        </w:rPr>
        <w:t xml:space="preserve">an </w:t>
      </w:r>
      <w:r w:rsidRPr="008132E3">
        <w:rPr>
          <w:color w:val="000000" w:themeColor="text1"/>
          <w:sz w:val="24"/>
          <w:szCs w:val="24"/>
        </w:rPr>
        <w:t xml:space="preserve">interpretation of the CBA is required to resolve the claim, </w:t>
      </w:r>
      <w:r w:rsidR="0013617E">
        <w:rPr>
          <w:color w:val="000000" w:themeColor="text1"/>
          <w:sz w:val="24"/>
          <w:szCs w:val="24"/>
        </w:rPr>
        <w:t>“</w:t>
      </w:r>
      <w:r w:rsidRPr="008132E3">
        <w:rPr>
          <w:color w:val="000000" w:themeColor="text1"/>
          <w:sz w:val="24"/>
          <w:szCs w:val="24"/>
        </w:rPr>
        <w:t>such that resolving the entire claim in court threatens the proper role of grievance and arbitration.</w:t>
      </w:r>
      <w:r w:rsidR="0013617E">
        <w:rPr>
          <w:color w:val="000000" w:themeColor="text1"/>
          <w:sz w:val="24"/>
          <w:szCs w:val="24"/>
        </w:rPr>
        <w:t>”</w:t>
      </w:r>
      <w:r>
        <w:rPr>
          <w:rStyle w:val="FootnoteReference"/>
          <w:color w:val="000000" w:themeColor="text1"/>
          <w:sz w:val="24"/>
          <w:szCs w:val="24"/>
        </w:rPr>
        <w:footnoteReference w:id="73"/>
      </w:r>
    </w:p>
    <w:p w14:paraId="761839A1" w14:textId="18D221E3" w:rsidR="005B4449" w:rsidRPr="008132E3" w:rsidRDefault="005B4449" w:rsidP="00E021FB">
      <w:pPr>
        <w:pStyle w:val="NormalWeb"/>
        <w:ind w:firstLine="720"/>
        <w:contextualSpacing/>
        <w:jc w:val="both"/>
        <w:textAlignment w:val="baseline"/>
        <w:rPr>
          <w:color w:val="000000" w:themeColor="text1"/>
          <w:sz w:val="24"/>
          <w:szCs w:val="24"/>
        </w:rPr>
      </w:pPr>
      <w:r w:rsidRPr="008132E3">
        <w:rPr>
          <w:color w:val="000000" w:themeColor="text1"/>
          <w:sz w:val="24"/>
          <w:szCs w:val="24"/>
        </w:rPr>
        <w:t xml:space="preserve">Using this two-step framework, the court first applied the framework to </w:t>
      </w:r>
      <w:r w:rsidRPr="00A175D2">
        <w:rPr>
          <w:iCs/>
          <w:color w:val="000000" w:themeColor="text1"/>
          <w:sz w:val="24"/>
          <w:szCs w:val="24"/>
        </w:rPr>
        <w:t>Dent</w:t>
      </w:r>
      <w:r w:rsidR="00353A27">
        <w:rPr>
          <w:color w:val="000000" w:themeColor="text1"/>
          <w:sz w:val="24"/>
          <w:szCs w:val="24"/>
        </w:rPr>
        <w:t>’</w:t>
      </w:r>
      <w:r w:rsidRPr="008132E3">
        <w:rPr>
          <w:color w:val="000000" w:themeColor="text1"/>
          <w:sz w:val="24"/>
          <w:szCs w:val="24"/>
        </w:rPr>
        <w:t>s negligence-based claims.</w:t>
      </w:r>
      <w:r>
        <w:rPr>
          <w:rStyle w:val="FootnoteReference"/>
          <w:color w:val="000000" w:themeColor="text1"/>
          <w:sz w:val="24"/>
          <w:szCs w:val="24"/>
        </w:rPr>
        <w:footnoteReference w:id="74"/>
      </w:r>
      <w:r w:rsidRPr="008132E3">
        <w:rPr>
          <w:color w:val="000000" w:themeColor="text1"/>
          <w:sz w:val="24"/>
          <w:szCs w:val="24"/>
        </w:rPr>
        <w:t xml:space="preserve"> In analyzing </w:t>
      </w:r>
      <w:r>
        <w:rPr>
          <w:color w:val="000000" w:themeColor="text1"/>
          <w:sz w:val="24"/>
          <w:szCs w:val="24"/>
        </w:rPr>
        <w:t>the</w:t>
      </w:r>
      <w:r w:rsidRPr="008132E3">
        <w:rPr>
          <w:color w:val="000000" w:themeColor="text1"/>
          <w:sz w:val="24"/>
          <w:szCs w:val="24"/>
        </w:rPr>
        <w:t xml:space="preserve"> first step, the court mentioned that the </w:t>
      </w:r>
      <w:r>
        <w:rPr>
          <w:color w:val="000000" w:themeColor="text1"/>
          <w:sz w:val="24"/>
          <w:szCs w:val="24"/>
        </w:rPr>
        <w:t>p</w:t>
      </w:r>
      <w:r w:rsidRPr="008132E3">
        <w:rPr>
          <w:color w:val="000000" w:themeColor="text1"/>
          <w:sz w:val="24"/>
          <w:szCs w:val="24"/>
        </w:rPr>
        <w:t xml:space="preserve">laintiffs had shaped their claim as one being negligence </w:t>
      </w:r>
      <w:r w:rsidRPr="007944B7">
        <w:rPr>
          <w:i/>
          <w:iCs/>
          <w:color w:val="000000" w:themeColor="text1"/>
          <w:sz w:val="24"/>
          <w:szCs w:val="24"/>
        </w:rPr>
        <w:t>per se</w:t>
      </w:r>
      <w:r>
        <w:rPr>
          <w:color w:val="000000" w:themeColor="text1"/>
          <w:sz w:val="24"/>
          <w:szCs w:val="24"/>
        </w:rPr>
        <w:t xml:space="preserve">. However, </w:t>
      </w:r>
      <w:r w:rsidRPr="008132E3">
        <w:rPr>
          <w:color w:val="000000" w:themeColor="text1"/>
          <w:sz w:val="24"/>
          <w:szCs w:val="24"/>
        </w:rPr>
        <w:t xml:space="preserve">California law </w:t>
      </w:r>
      <w:r>
        <w:rPr>
          <w:color w:val="000000" w:themeColor="text1"/>
          <w:sz w:val="24"/>
          <w:szCs w:val="24"/>
        </w:rPr>
        <w:t xml:space="preserve">does not </w:t>
      </w:r>
      <w:r w:rsidRPr="008132E3">
        <w:rPr>
          <w:color w:val="000000" w:themeColor="text1"/>
          <w:sz w:val="24"/>
          <w:szCs w:val="24"/>
        </w:rPr>
        <w:t>recognize</w:t>
      </w:r>
      <w:r>
        <w:rPr>
          <w:color w:val="000000" w:themeColor="text1"/>
          <w:sz w:val="24"/>
          <w:szCs w:val="24"/>
        </w:rPr>
        <w:t xml:space="preserve"> </w:t>
      </w:r>
      <w:r w:rsidRPr="008132E3">
        <w:rPr>
          <w:color w:val="000000" w:themeColor="text1"/>
          <w:sz w:val="24"/>
          <w:szCs w:val="24"/>
        </w:rPr>
        <w:t xml:space="preserve">negligence </w:t>
      </w:r>
      <w:r w:rsidRPr="007944B7">
        <w:rPr>
          <w:i/>
          <w:iCs/>
          <w:color w:val="000000" w:themeColor="text1"/>
          <w:sz w:val="24"/>
          <w:szCs w:val="24"/>
        </w:rPr>
        <w:t>per se</w:t>
      </w:r>
      <w:r w:rsidRPr="008132E3">
        <w:rPr>
          <w:color w:val="000000" w:themeColor="text1"/>
          <w:sz w:val="24"/>
          <w:szCs w:val="24"/>
        </w:rPr>
        <w:t xml:space="preserve"> as a cause of action</w:t>
      </w:r>
      <w:r>
        <w:rPr>
          <w:color w:val="000000" w:themeColor="text1"/>
          <w:sz w:val="24"/>
          <w:szCs w:val="24"/>
        </w:rPr>
        <w:t xml:space="preserve">, but </w:t>
      </w:r>
      <w:r w:rsidRPr="008132E3">
        <w:rPr>
          <w:color w:val="000000" w:themeColor="text1"/>
          <w:sz w:val="24"/>
          <w:szCs w:val="24"/>
        </w:rPr>
        <w:t xml:space="preserve">only as a doctrine. To clarify this, the court stated, </w:t>
      </w:r>
      <w:r>
        <w:rPr>
          <w:color w:val="000000" w:themeColor="text1"/>
          <w:sz w:val="24"/>
          <w:szCs w:val="24"/>
        </w:rPr>
        <w:t>“</w:t>
      </w:r>
      <w:r w:rsidRPr="008132E3">
        <w:rPr>
          <w:color w:val="000000" w:themeColor="text1"/>
          <w:sz w:val="24"/>
          <w:szCs w:val="24"/>
        </w:rPr>
        <w:t>We construe the players</w:t>
      </w:r>
      <w:r>
        <w:rPr>
          <w:color w:val="000000" w:themeColor="text1"/>
          <w:sz w:val="24"/>
          <w:szCs w:val="24"/>
        </w:rPr>
        <w:t>’</w:t>
      </w:r>
      <w:r w:rsidRPr="008132E3">
        <w:rPr>
          <w:color w:val="000000" w:themeColor="text1"/>
          <w:sz w:val="24"/>
          <w:szCs w:val="24"/>
        </w:rPr>
        <w:t xml:space="preserve"> claim as traditional negligence but apply the negligence </w:t>
      </w:r>
      <w:r>
        <w:rPr>
          <w:color w:val="000000" w:themeColor="text1"/>
          <w:sz w:val="24"/>
          <w:szCs w:val="24"/>
        </w:rPr>
        <w:t>[</w:t>
      </w:r>
      <w:r w:rsidRPr="007944B7">
        <w:rPr>
          <w:i/>
          <w:iCs/>
          <w:color w:val="000000" w:themeColor="text1"/>
          <w:sz w:val="24"/>
          <w:szCs w:val="24"/>
        </w:rPr>
        <w:t>per se</w:t>
      </w:r>
      <w:r w:rsidRPr="007944B7">
        <w:rPr>
          <w:color w:val="000000" w:themeColor="text1"/>
          <w:sz w:val="24"/>
          <w:szCs w:val="24"/>
        </w:rPr>
        <w:t xml:space="preserve">] </w:t>
      </w:r>
      <w:r w:rsidRPr="008132E3">
        <w:rPr>
          <w:color w:val="000000" w:themeColor="text1"/>
          <w:sz w:val="24"/>
          <w:szCs w:val="24"/>
        </w:rPr>
        <w:t>doctrine.”</w:t>
      </w:r>
      <w:r>
        <w:rPr>
          <w:rStyle w:val="FootnoteReference"/>
          <w:color w:val="000000" w:themeColor="text1"/>
          <w:sz w:val="24"/>
          <w:szCs w:val="24"/>
        </w:rPr>
        <w:footnoteReference w:id="75"/>
      </w:r>
      <w:r w:rsidRPr="008132E3">
        <w:rPr>
          <w:color w:val="000000" w:themeColor="text1"/>
          <w:sz w:val="24"/>
          <w:szCs w:val="24"/>
        </w:rPr>
        <w:t xml:space="preserve"> </w:t>
      </w:r>
    </w:p>
    <w:p w14:paraId="1A67C4D6" w14:textId="105A29C5" w:rsidR="005B4449" w:rsidRPr="008132E3" w:rsidRDefault="005B4449" w:rsidP="00E021FB">
      <w:pPr>
        <w:pStyle w:val="NormalWeb"/>
        <w:ind w:firstLine="720"/>
        <w:contextualSpacing/>
        <w:jc w:val="both"/>
        <w:textAlignment w:val="baseline"/>
        <w:rPr>
          <w:color w:val="000000" w:themeColor="text1"/>
          <w:sz w:val="24"/>
          <w:szCs w:val="24"/>
        </w:rPr>
      </w:pPr>
      <w:r w:rsidRPr="008132E3">
        <w:rPr>
          <w:color w:val="000000" w:themeColor="text1"/>
          <w:sz w:val="24"/>
          <w:szCs w:val="24"/>
        </w:rPr>
        <w:t xml:space="preserve">Specifically, the court found that the statutes CSA, </w:t>
      </w:r>
      <w:r>
        <w:rPr>
          <w:color w:val="000000" w:themeColor="text1"/>
          <w:sz w:val="24"/>
          <w:szCs w:val="24"/>
        </w:rPr>
        <w:t>Federal Drug and Cosmetics Act (</w:t>
      </w:r>
      <w:r w:rsidRPr="008132E3">
        <w:rPr>
          <w:color w:val="000000" w:themeColor="text1"/>
          <w:sz w:val="24"/>
          <w:szCs w:val="24"/>
        </w:rPr>
        <w:t>FDCA</w:t>
      </w:r>
      <w:r>
        <w:rPr>
          <w:color w:val="000000" w:themeColor="text1"/>
          <w:sz w:val="24"/>
          <w:szCs w:val="24"/>
        </w:rPr>
        <w:t>),</w:t>
      </w:r>
      <w:r w:rsidRPr="008132E3">
        <w:rPr>
          <w:color w:val="000000" w:themeColor="text1"/>
          <w:sz w:val="24"/>
          <w:szCs w:val="24"/>
        </w:rPr>
        <w:t xml:space="preserve"> and California Pharmacy Laws would establish a standard of care and stated that</w:t>
      </w:r>
      <w:r>
        <w:rPr>
          <w:color w:val="000000" w:themeColor="text1"/>
          <w:sz w:val="24"/>
          <w:szCs w:val="24"/>
        </w:rPr>
        <w:t>,</w:t>
      </w:r>
      <w:r w:rsidRPr="008132E3">
        <w:rPr>
          <w:color w:val="000000" w:themeColor="text1"/>
          <w:sz w:val="24"/>
          <w:szCs w:val="24"/>
        </w:rPr>
        <w:t xml:space="preserve"> “violation of a statute would give rise to the presumption that it</w:t>
      </w:r>
      <w:r w:rsidRPr="008132E3">
        <w:rPr>
          <w:rStyle w:val="apple-converted-space"/>
          <w:color w:val="000000" w:themeColor="text1"/>
          <w:sz w:val="24"/>
          <w:szCs w:val="24"/>
        </w:rPr>
        <w:t> </w:t>
      </w:r>
      <w:r w:rsidRPr="008132E3">
        <w:rPr>
          <w:color w:val="000000" w:themeColor="text1"/>
          <w:sz w:val="24"/>
          <w:szCs w:val="24"/>
        </w:rPr>
        <w:t>failed to exercise due care.</w:t>
      </w:r>
      <w:r w:rsidR="0013617E">
        <w:rPr>
          <w:color w:val="000000" w:themeColor="text1"/>
          <w:sz w:val="24"/>
          <w:szCs w:val="24"/>
        </w:rPr>
        <w:t>”</w:t>
      </w:r>
      <w:r>
        <w:rPr>
          <w:rStyle w:val="FootnoteReference"/>
          <w:color w:val="000000" w:themeColor="text1"/>
          <w:sz w:val="24"/>
          <w:szCs w:val="24"/>
        </w:rPr>
        <w:footnoteReference w:id="76"/>
      </w:r>
    </w:p>
    <w:p w14:paraId="19F6F639" w14:textId="6C39C9BA" w:rsidR="005B4449" w:rsidRPr="008132E3" w:rsidRDefault="005B4449" w:rsidP="00E021FB">
      <w:pPr>
        <w:pStyle w:val="NormalWeb"/>
        <w:ind w:firstLine="720"/>
        <w:contextualSpacing/>
        <w:jc w:val="both"/>
        <w:textAlignment w:val="baseline"/>
        <w:rPr>
          <w:color w:val="000000" w:themeColor="text1"/>
          <w:sz w:val="24"/>
          <w:szCs w:val="24"/>
        </w:rPr>
      </w:pPr>
      <w:r w:rsidRPr="008132E3">
        <w:rPr>
          <w:color w:val="000000" w:themeColor="text1"/>
          <w:sz w:val="24"/>
          <w:szCs w:val="24"/>
        </w:rPr>
        <w:t>The players asserted that the NFL violated both federal and state laws that govern the administration of opioids.</w:t>
      </w:r>
      <w:r>
        <w:rPr>
          <w:rStyle w:val="FootnoteReference"/>
          <w:color w:val="000000" w:themeColor="text1"/>
          <w:sz w:val="24"/>
          <w:szCs w:val="24"/>
        </w:rPr>
        <w:footnoteReference w:id="77"/>
      </w:r>
      <w:r w:rsidRPr="008132E3">
        <w:rPr>
          <w:color w:val="000000" w:themeColor="text1"/>
          <w:sz w:val="24"/>
          <w:szCs w:val="24"/>
        </w:rPr>
        <w:t xml:space="preserve"> The Ninth Circuit here reasoned that it did not see the claim as </w:t>
      </w:r>
      <w:r>
        <w:rPr>
          <w:color w:val="000000" w:themeColor="text1"/>
          <w:sz w:val="24"/>
          <w:szCs w:val="24"/>
        </w:rPr>
        <w:t>the NFL’s</w:t>
      </w:r>
      <w:r w:rsidRPr="008132E3">
        <w:rPr>
          <w:color w:val="000000" w:themeColor="text1"/>
          <w:sz w:val="24"/>
          <w:szCs w:val="24"/>
        </w:rPr>
        <w:t xml:space="preserve"> mere failure to stop or intervene as viewed by the district court.</w:t>
      </w:r>
      <w:r>
        <w:rPr>
          <w:rStyle w:val="FootnoteReference"/>
          <w:color w:val="000000" w:themeColor="text1"/>
          <w:sz w:val="24"/>
          <w:szCs w:val="24"/>
        </w:rPr>
        <w:footnoteReference w:id="78"/>
      </w:r>
      <w:r w:rsidRPr="008132E3">
        <w:rPr>
          <w:color w:val="000000" w:themeColor="text1"/>
          <w:sz w:val="24"/>
          <w:szCs w:val="24"/>
        </w:rPr>
        <w:t xml:space="preserve"> Instead, the court reasoned that the spirit of the claim was that the NFL itself illegally distributed controlled substances, and therefore its actions directly injured the players.</w:t>
      </w:r>
      <w:r>
        <w:rPr>
          <w:rStyle w:val="FootnoteReference"/>
          <w:color w:val="000000" w:themeColor="text1"/>
          <w:sz w:val="24"/>
          <w:szCs w:val="24"/>
        </w:rPr>
        <w:footnoteReference w:id="79"/>
      </w:r>
      <w:r w:rsidRPr="008132E3">
        <w:rPr>
          <w:color w:val="000000" w:themeColor="text1"/>
          <w:sz w:val="24"/>
          <w:szCs w:val="24"/>
        </w:rPr>
        <w:t xml:space="preserve"> The court placed </w:t>
      </w:r>
      <w:r>
        <w:rPr>
          <w:color w:val="000000" w:themeColor="text1"/>
          <w:sz w:val="24"/>
          <w:szCs w:val="24"/>
        </w:rPr>
        <w:t>particular</w:t>
      </w:r>
      <w:r w:rsidRPr="008132E3">
        <w:rPr>
          <w:color w:val="000000" w:themeColor="text1"/>
          <w:sz w:val="24"/>
          <w:szCs w:val="24"/>
        </w:rPr>
        <w:t xml:space="preserve"> emphasis on its determination that the claim argued that the NFL itself distributed controlled substances. T</w:t>
      </w:r>
      <w:r>
        <w:rPr>
          <w:color w:val="000000" w:themeColor="text1"/>
          <w:sz w:val="24"/>
          <w:szCs w:val="24"/>
        </w:rPr>
        <w:t xml:space="preserve">he court read the claim </w:t>
      </w:r>
      <w:proofErr w:type="gramStart"/>
      <w:r>
        <w:rPr>
          <w:color w:val="000000" w:themeColor="text1"/>
          <w:sz w:val="24"/>
          <w:szCs w:val="24"/>
        </w:rPr>
        <w:t>as</w:t>
      </w:r>
      <w:r w:rsidRPr="008132E3">
        <w:rPr>
          <w:color w:val="000000" w:themeColor="text1"/>
          <w:sz w:val="24"/>
          <w:szCs w:val="24"/>
        </w:rPr>
        <w:t xml:space="preserve"> </w:t>
      </w:r>
      <w:r>
        <w:rPr>
          <w:color w:val="000000" w:themeColor="text1"/>
          <w:sz w:val="24"/>
          <w:szCs w:val="24"/>
        </w:rPr>
        <w:t xml:space="preserve"> </w:t>
      </w:r>
      <w:r w:rsidRPr="008132E3">
        <w:rPr>
          <w:color w:val="000000" w:themeColor="text1"/>
          <w:sz w:val="24"/>
          <w:szCs w:val="24"/>
        </w:rPr>
        <w:t>alleg</w:t>
      </w:r>
      <w:r>
        <w:rPr>
          <w:color w:val="000000" w:themeColor="text1"/>
          <w:sz w:val="24"/>
          <w:szCs w:val="24"/>
        </w:rPr>
        <w:t>ing</w:t>
      </w:r>
      <w:proofErr w:type="gramEnd"/>
      <w:r w:rsidRPr="008132E3">
        <w:rPr>
          <w:color w:val="000000" w:themeColor="text1"/>
          <w:sz w:val="24"/>
          <w:szCs w:val="24"/>
        </w:rPr>
        <w:t xml:space="preserve"> that the NFL both indirectly and directly supplied players with drugs</w:t>
      </w:r>
      <w:r>
        <w:rPr>
          <w:color w:val="000000" w:themeColor="text1"/>
          <w:sz w:val="24"/>
          <w:szCs w:val="24"/>
        </w:rPr>
        <w:t>, and that they</w:t>
      </w:r>
      <w:r w:rsidRPr="008132E3">
        <w:rPr>
          <w:color w:val="000000" w:themeColor="text1"/>
          <w:sz w:val="24"/>
          <w:szCs w:val="24"/>
        </w:rPr>
        <w:t xml:space="preserve"> managed the illegal distribution of painkillers and anti-inflammatories without informed consent.</w:t>
      </w:r>
      <w:r>
        <w:rPr>
          <w:rStyle w:val="FootnoteReference"/>
          <w:color w:val="000000" w:themeColor="text1"/>
          <w:sz w:val="24"/>
          <w:szCs w:val="24"/>
        </w:rPr>
        <w:footnoteReference w:id="80"/>
      </w:r>
    </w:p>
    <w:p w14:paraId="3250B031" w14:textId="6E012562" w:rsidR="005B4449" w:rsidRPr="008132E3" w:rsidRDefault="005B4449" w:rsidP="00E021FB">
      <w:pPr>
        <w:pStyle w:val="NormalWeb"/>
        <w:ind w:firstLine="720"/>
        <w:contextualSpacing/>
        <w:jc w:val="both"/>
        <w:textAlignment w:val="baseline"/>
        <w:rPr>
          <w:color w:val="000000" w:themeColor="text1"/>
          <w:sz w:val="24"/>
          <w:szCs w:val="24"/>
        </w:rPr>
      </w:pPr>
      <w:r>
        <w:rPr>
          <w:color w:val="000000" w:themeColor="text1"/>
          <w:sz w:val="24"/>
          <w:szCs w:val="24"/>
        </w:rPr>
        <w:lastRenderedPageBreak/>
        <w:t>Continuing with the analysis of the first</w:t>
      </w:r>
      <w:r w:rsidRPr="008132E3">
        <w:rPr>
          <w:color w:val="000000" w:themeColor="text1"/>
          <w:sz w:val="24"/>
          <w:szCs w:val="24"/>
        </w:rPr>
        <w:t xml:space="preserve"> prong of the two-step inquiry, the court of appeals reasoned that the</w:t>
      </w:r>
      <w:r>
        <w:rPr>
          <w:color w:val="000000" w:themeColor="text1"/>
          <w:sz w:val="24"/>
          <w:szCs w:val="24"/>
        </w:rPr>
        <w:t xml:space="preserve"> CBAs did not create a right for the </w:t>
      </w:r>
      <w:proofErr w:type="gramStart"/>
      <w:r>
        <w:rPr>
          <w:color w:val="000000" w:themeColor="text1"/>
          <w:sz w:val="24"/>
          <w:szCs w:val="24"/>
        </w:rPr>
        <w:t>players’</w:t>
      </w:r>
      <w:proofErr w:type="gramEnd"/>
      <w:r>
        <w:rPr>
          <w:color w:val="000000" w:themeColor="text1"/>
          <w:sz w:val="24"/>
          <w:szCs w:val="24"/>
        </w:rPr>
        <w:t xml:space="preserve"> to receive medical care from the NFL that did not create an unreasonable risk of harm</w:t>
      </w:r>
      <w:r w:rsidRPr="008132E3">
        <w:rPr>
          <w:color w:val="000000" w:themeColor="text1"/>
          <w:sz w:val="24"/>
          <w:szCs w:val="24"/>
        </w:rPr>
        <w:t>.</w:t>
      </w:r>
      <w:r>
        <w:rPr>
          <w:rStyle w:val="FootnoteReference"/>
          <w:color w:val="000000" w:themeColor="text1"/>
          <w:sz w:val="24"/>
          <w:szCs w:val="24"/>
        </w:rPr>
        <w:footnoteReference w:id="81"/>
      </w:r>
      <w:r w:rsidRPr="008132E3">
        <w:rPr>
          <w:color w:val="000000" w:themeColor="text1"/>
          <w:sz w:val="24"/>
          <w:szCs w:val="24"/>
        </w:rPr>
        <w:t xml:space="preserve"> In holding this, the court reasoned that the players were not arguing the NFL violated the CBA. Instead, the </w:t>
      </w:r>
      <w:r>
        <w:rPr>
          <w:color w:val="000000" w:themeColor="text1"/>
          <w:sz w:val="24"/>
          <w:szCs w:val="24"/>
        </w:rPr>
        <w:t>p</w:t>
      </w:r>
      <w:r w:rsidRPr="008132E3">
        <w:rPr>
          <w:color w:val="000000" w:themeColor="text1"/>
          <w:sz w:val="24"/>
          <w:szCs w:val="24"/>
        </w:rPr>
        <w:t>laintiffs argued it violated the state and federal laws that govern prescription drugs.</w:t>
      </w:r>
      <w:r>
        <w:rPr>
          <w:rStyle w:val="FootnoteReference"/>
          <w:color w:val="000000" w:themeColor="text1"/>
          <w:sz w:val="24"/>
          <w:szCs w:val="24"/>
        </w:rPr>
        <w:footnoteReference w:id="82"/>
      </w:r>
      <w:r w:rsidRPr="008132E3">
        <w:rPr>
          <w:color w:val="000000" w:themeColor="text1"/>
          <w:sz w:val="24"/>
          <w:szCs w:val="24"/>
        </w:rPr>
        <w:t xml:space="preserve"> </w:t>
      </w:r>
    </w:p>
    <w:p w14:paraId="5C840637" w14:textId="51F0DE22" w:rsidR="005B4449" w:rsidRPr="008132E3" w:rsidRDefault="005B4449" w:rsidP="00E021FB">
      <w:pPr>
        <w:pStyle w:val="NormalWeb"/>
        <w:ind w:firstLine="720"/>
        <w:contextualSpacing/>
        <w:jc w:val="both"/>
        <w:textAlignment w:val="baseline"/>
        <w:rPr>
          <w:color w:val="000000" w:themeColor="text1"/>
          <w:sz w:val="24"/>
          <w:szCs w:val="24"/>
        </w:rPr>
      </w:pPr>
      <w:r>
        <w:rPr>
          <w:color w:val="000000" w:themeColor="text1"/>
          <w:sz w:val="24"/>
          <w:szCs w:val="24"/>
        </w:rPr>
        <w:t>T</w:t>
      </w:r>
      <w:r w:rsidRPr="008132E3">
        <w:rPr>
          <w:color w:val="000000" w:themeColor="text1"/>
          <w:sz w:val="24"/>
          <w:szCs w:val="24"/>
        </w:rPr>
        <w:t xml:space="preserve">he court </w:t>
      </w:r>
      <w:r>
        <w:rPr>
          <w:color w:val="000000" w:themeColor="text1"/>
          <w:sz w:val="24"/>
          <w:szCs w:val="24"/>
        </w:rPr>
        <w:t xml:space="preserve">then </w:t>
      </w:r>
      <w:r w:rsidRPr="008132E3">
        <w:rPr>
          <w:color w:val="000000" w:themeColor="text1"/>
          <w:sz w:val="24"/>
          <w:szCs w:val="24"/>
        </w:rPr>
        <w:t xml:space="preserve">moved to the second prong of the analysis to </w:t>
      </w:r>
      <w:r>
        <w:rPr>
          <w:color w:val="000000" w:themeColor="text1"/>
          <w:sz w:val="24"/>
          <w:szCs w:val="24"/>
        </w:rPr>
        <w:t xml:space="preserve">determine </w:t>
      </w:r>
      <w:r w:rsidRPr="008132E3">
        <w:rPr>
          <w:color w:val="000000" w:themeColor="text1"/>
          <w:sz w:val="24"/>
          <w:szCs w:val="24"/>
        </w:rPr>
        <w:t>whether the players</w:t>
      </w:r>
      <w:r w:rsidR="00353A27">
        <w:rPr>
          <w:color w:val="000000" w:themeColor="text1"/>
          <w:sz w:val="24"/>
          <w:szCs w:val="24"/>
        </w:rPr>
        <w:t>’</w:t>
      </w:r>
      <w:r w:rsidRPr="008132E3">
        <w:rPr>
          <w:color w:val="000000" w:themeColor="text1"/>
          <w:sz w:val="24"/>
          <w:szCs w:val="24"/>
        </w:rPr>
        <w:t xml:space="preserve"> claim required interpretation </w:t>
      </w:r>
      <w:r>
        <w:rPr>
          <w:color w:val="000000" w:themeColor="text1"/>
          <w:sz w:val="24"/>
          <w:szCs w:val="24"/>
        </w:rPr>
        <w:t>of</w:t>
      </w:r>
      <w:r w:rsidRPr="008132E3">
        <w:rPr>
          <w:color w:val="000000" w:themeColor="text1"/>
          <w:sz w:val="24"/>
          <w:szCs w:val="24"/>
        </w:rPr>
        <w:t xml:space="preserve"> the CBA.</w:t>
      </w:r>
      <w:r>
        <w:rPr>
          <w:rStyle w:val="FootnoteReference"/>
          <w:color w:val="000000" w:themeColor="text1"/>
          <w:sz w:val="24"/>
          <w:szCs w:val="24"/>
        </w:rPr>
        <w:footnoteReference w:id="83"/>
      </w:r>
      <w:r w:rsidRPr="008132E3">
        <w:rPr>
          <w:color w:val="000000" w:themeColor="text1"/>
          <w:sz w:val="24"/>
          <w:szCs w:val="24"/>
        </w:rPr>
        <w:t xml:space="preserve"> The court stated that a</w:t>
      </w:r>
      <w:r>
        <w:rPr>
          <w:color w:val="000000" w:themeColor="text1"/>
          <w:sz w:val="24"/>
          <w:szCs w:val="24"/>
        </w:rPr>
        <w:t xml:space="preserve">nalyzing this </w:t>
      </w:r>
      <w:r w:rsidRPr="008132E3">
        <w:rPr>
          <w:color w:val="000000" w:themeColor="text1"/>
          <w:sz w:val="24"/>
          <w:szCs w:val="24"/>
        </w:rPr>
        <w:t>prong required showing the elements of negligence without referring to the CBA.</w:t>
      </w:r>
      <w:r>
        <w:rPr>
          <w:rStyle w:val="FootnoteReference"/>
          <w:color w:val="000000" w:themeColor="text1"/>
          <w:sz w:val="24"/>
          <w:szCs w:val="24"/>
        </w:rPr>
        <w:footnoteReference w:id="84"/>
      </w:r>
      <w:r w:rsidRPr="008132E3">
        <w:rPr>
          <w:color w:val="000000" w:themeColor="text1"/>
          <w:sz w:val="24"/>
          <w:szCs w:val="24"/>
        </w:rPr>
        <w:t xml:space="preserve"> In doing so, the court stated the elements required for a state claim of negligence in California which are as follows: First, the defendant had a duty or obligation to conform to a certain standard of conduct for the protection of others against unreasonable risk. Second, a breach of duty occurred. Third, causation is present. Fourth, damages are present.</w:t>
      </w:r>
      <w:r>
        <w:rPr>
          <w:rStyle w:val="FootnoteReference"/>
          <w:color w:val="000000" w:themeColor="text1"/>
          <w:sz w:val="24"/>
          <w:szCs w:val="24"/>
        </w:rPr>
        <w:footnoteReference w:id="85"/>
      </w:r>
      <w:r w:rsidRPr="008132E3">
        <w:rPr>
          <w:color w:val="000000" w:themeColor="text1"/>
          <w:sz w:val="24"/>
          <w:szCs w:val="24"/>
        </w:rPr>
        <w:t xml:space="preserve"> The court then analyzed each specific element to determine whether the elements for a </w:t>
      </w:r>
      <w:r w:rsidRPr="00D94E17">
        <w:rPr>
          <w:i/>
          <w:iCs/>
          <w:color w:val="000000" w:themeColor="text1"/>
          <w:sz w:val="24"/>
          <w:szCs w:val="24"/>
        </w:rPr>
        <w:t>prima facie</w:t>
      </w:r>
      <w:r w:rsidRPr="008132E3">
        <w:rPr>
          <w:color w:val="000000" w:themeColor="text1"/>
          <w:sz w:val="24"/>
          <w:szCs w:val="24"/>
        </w:rPr>
        <w:t xml:space="preserve"> case for negligence could be interpreted without going to the CBA.</w:t>
      </w:r>
      <w:r>
        <w:rPr>
          <w:rStyle w:val="FootnoteReference"/>
          <w:color w:val="000000" w:themeColor="text1"/>
          <w:sz w:val="24"/>
          <w:szCs w:val="24"/>
        </w:rPr>
        <w:footnoteReference w:id="86"/>
      </w:r>
      <w:r w:rsidRPr="008132E3">
        <w:rPr>
          <w:color w:val="000000" w:themeColor="text1"/>
          <w:sz w:val="24"/>
          <w:szCs w:val="24"/>
        </w:rPr>
        <w:t xml:space="preserve"> </w:t>
      </w:r>
    </w:p>
    <w:p w14:paraId="4FEF5195" w14:textId="1BC6EB68" w:rsidR="005B4449" w:rsidRPr="008132E3" w:rsidRDefault="005B4449" w:rsidP="00E021FB">
      <w:pPr>
        <w:pStyle w:val="NormalWeb"/>
        <w:ind w:firstLine="720"/>
        <w:contextualSpacing/>
        <w:jc w:val="both"/>
        <w:textAlignment w:val="baseline"/>
        <w:rPr>
          <w:color w:val="000000" w:themeColor="text1"/>
          <w:sz w:val="24"/>
          <w:szCs w:val="24"/>
        </w:rPr>
      </w:pPr>
      <w:r>
        <w:rPr>
          <w:color w:val="000000" w:themeColor="text1"/>
          <w:sz w:val="24"/>
          <w:szCs w:val="24"/>
        </w:rPr>
        <w:t>For</w:t>
      </w:r>
      <w:r w:rsidRPr="008132E3">
        <w:rPr>
          <w:color w:val="000000" w:themeColor="text1"/>
          <w:sz w:val="24"/>
          <w:szCs w:val="24"/>
        </w:rPr>
        <w:t xml:space="preserve"> </w:t>
      </w:r>
      <w:r>
        <w:rPr>
          <w:color w:val="000000" w:themeColor="text1"/>
          <w:sz w:val="24"/>
          <w:szCs w:val="24"/>
        </w:rPr>
        <w:t xml:space="preserve">the </w:t>
      </w:r>
      <w:r w:rsidRPr="008132E3">
        <w:rPr>
          <w:color w:val="000000" w:themeColor="text1"/>
          <w:sz w:val="24"/>
          <w:szCs w:val="24"/>
        </w:rPr>
        <w:t xml:space="preserve">first element, the </w:t>
      </w:r>
      <w:r>
        <w:rPr>
          <w:color w:val="000000" w:themeColor="text1"/>
          <w:sz w:val="24"/>
          <w:szCs w:val="24"/>
        </w:rPr>
        <w:t>c</w:t>
      </w:r>
      <w:r w:rsidRPr="008132E3">
        <w:rPr>
          <w:color w:val="000000" w:themeColor="text1"/>
          <w:sz w:val="24"/>
          <w:szCs w:val="24"/>
        </w:rPr>
        <w:t xml:space="preserve">ourt of </w:t>
      </w:r>
      <w:r>
        <w:rPr>
          <w:color w:val="000000" w:themeColor="text1"/>
          <w:sz w:val="24"/>
          <w:szCs w:val="24"/>
        </w:rPr>
        <w:t>a</w:t>
      </w:r>
      <w:r w:rsidRPr="008132E3">
        <w:rPr>
          <w:color w:val="000000" w:themeColor="text1"/>
          <w:sz w:val="24"/>
          <w:szCs w:val="24"/>
        </w:rPr>
        <w:t>ppeals concluded that the NFL</w:t>
      </w:r>
      <w:r w:rsidR="0013617E">
        <w:rPr>
          <w:color w:val="000000" w:themeColor="text1"/>
          <w:sz w:val="24"/>
          <w:szCs w:val="24"/>
        </w:rPr>
        <w:t>’</w:t>
      </w:r>
      <w:r w:rsidRPr="008132E3">
        <w:rPr>
          <w:color w:val="000000" w:themeColor="text1"/>
          <w:sz w:val="24"/>
          <w:szCs w:val="24"/>
        </w:rPr>
        <w:t>s duty to exercise reasonable care in the</w:t>
      </w:r>
      <w:r w:rsidRPr="008132E3">
        <w:rPr>
          <w:rStyle w:val="apple-converted-space"/>
          <w:color w:val="000000" w:themeColor="text1"/>
          <w:sz w:val="24"/>
          <w:szCs w:val="24"/>
        </w:rPr>
        <w:t> </w:t>
      </w:r>
      <w:r w:rsidRPr="008132E3">
        <w:rPr>
          <w:color w:val="000000" w:themeColor="text1"/>
          <w:sz w:val="24"/>
          <w:szCs w:val="24"/>
        </w:rPr>
        <w:t xml:space="preserve">distribution of controlled substances arose from the </w:t>
      </w:r>
      <w:r w:rsidR="0013617E">
        <w:rPr>
          <w:color w:val="000000" w:themeColor="text1"/>
          <w:sz w:val="24"/>
          <w:szCs w:val="24"/>
        </w:rPr>
        <w:t>“</w:t>
      </w:r>
      <w:r w:rsidRPr="008132E3">
        <w:rPr>
          <w:color w:val="000000" w:themeColor="text1"/>
          <w:sz w:val="24"/>
          <w:szCs w:val="24"/>
        </w:rPr>
        <w:t>general character of its involvement.”</w:t>
      </w:r>
      <w:r>
        <w:rPr>
          <w:rStyle w:val="FootnoteReference"/>
          <w:color w:val="000000" w:themeColor="text1"/>
          <w:sz w:val="24"/>
          <w:szCs w:val="24"/>
        </w:rPr>
        <w:footnoteReference w:id="87"/>
      </w:r>
      <w:r w:rsidRPr="008132E3">
        <w:rPr>
          <w:color w:val="000000" w:themeColor="text1"/>
          <w:sz w:val="24"/>
          <w:szCs w:val="24"/>
        </w:rPr>
        <w:t xml:space="preserve"> Additionally, there is foreseeable harm to individuals hinted by the fact the drugs are labeled a controlled substance in the first place, and carelessness in the handling of these drugs is </w:t>
      </w:r>
      <w:r w:rsidR="0013617E">
        <w:rPr>
          <w:color w:val="000000" w:themeColor="text1"/>
          <w:sz w:val="24"/>
          <w:szCs w:val="24"/>
        </w:rPr>
        <w:t>“</w:t>
      </w:r>
      <w:r w:rsidRPr="008132E3">
        <w:rPr>
          <w:color w:val="000000" w:themeColor="text1"/>
          <w:sz w:val="24"/>
          <w:szCs w:val="24"/>
        </w:rPr>
        <w:t>both illegal and morally blameworthy given the risk of injury that it entails.</w:t>
      </w:r>
      <w:r w:rsidR="0013617E">
        <w:rPr>
          <w:color w:val="000000" w:themeColor="text1"/>
          <w:sz w:val="24"/>
          <w:szCs w:val="24"/>
        </w:rPr>
        <w:t>”</w:t>
      </w:r>
      <w:r w:rsidRPr="008132E3">
        <w:rPr>
          <w:color w:val="000000" w:themeColor="text1"/>
          <w:sz w:val="24"/>
          <w:szCs w:val="24"/>
        </w:rPr>
        <w:t xml:space="preserve"> Moreover, there is no undue burden upon entities that should be following laws governing prescriptions.</w:t>
      </w:r>
      <w:r>
        <w:rPr>
          <w:rStyle w:val="FootnoteReference"/>
          <w:color w:val="000000" w:themeColor="text1"/>
          <w:sz w:val="24"/>
          <w:szCs w:val="24"/>
        </w:rPr>
        <w:footnoteReference w:id="88"/>
      </w:r>
      <w:r w:rsidRPr="008132E3">
        <w:rPr>
          <w:color w:val="000000" w:themeColor="text1"/>
          <w:sz w:val="24"/>
          <w:szCs w:val="24"/>
        </w:rPr>
        <w:t xml:space="preserve"> </w:t>
      </w:r>
      <w:r>
        <w:rPr>
          <w:color w:val="000000" w:themeColor="text1"/>
          <w:sz w:val="24"/>
          <w:szCs w:val="24"/>
        </w:rPr>
        <w:t>S</w:t>
      </w:r>
      <w:r w:rsidRPr="008132E3">
        <w:rPr>
          <w:color w:val="000000" w:themeColor="text1"/>
          <w:sz w:val="24"/>
          <w:szCs w:val="24"/>
        </w:rPr>
        <w:t>econd, the court determined a breach occurred due to the requirements in the federal and state statutes.</w:t>
      </w:r>
      <w:r>
        <w:rPr>
          <w:rStyle w:val="FootnoteReference"/>
          <w:color w:val="000000" w:themeColor="text1"/>
          <w:sz w:val="24"/>
          <w:szCs w:val="24"/>
        </w:rPr>
        <w:footnoteReference w:id="89"/>
      </w:r>
      <w:r w:rsidRPr="008132E3">
        <w:rPr>
          <w:color w:val="000000" w:themeColor="text1"/>
          <w:sz w:val="24"/>
          <w:szCs w:val="24"/>
        </w:rPr>
        <w:t xml:space="preserve"> </w:t>
      </w:r>
      <w:r>
        <w:rPr>
          <w:color w:val="000000" w:themeColor="text1"/>
          <w:sz w:val="24"/>
          <w:szCs w:val="24"/>
        </w:rPr>
        <w:t>T</w:t>
      </w:r>
      <w:r w:rsidRPr="008132E3">
        <w:rPr>
          <w:color w:val="000000" w:themeColor="text1"/>
          <w:sz w:val="24"/>
          <w:szCs w:val="24"/>
        </w:rPr>
        <w:t>hird, the court concluded that the question of causation was purely factual.</w:t>
      </w:r>
      <w:r>
        <w:rPr>
          <w:rStyle w:val="FootnoteReference"/>
          <w:color w:val="000000" w:themeColor="text1"/>
          <w:sz w:val="24"/>
          <w:szCs w:val="24"/>
        </w:rPr>
        <w:footnoteReference w:id="90"/>
      </w:r>
      <w:r w:rsidRPr="008132E3">
        <w:rPr>
          <w:color w:val="000000" w:themeColor="text1"/>
          <w:sz w:val="24"/>
          <w:szCs w:val="24"/>
        </w:rPr>
        <w:t xml:space="preserve"> Fourth, the court held that clearly</w:t>
      </w:r>
      <w:r>
        <w:rPr>
          <w:color w:val="000000" w:themeColor="text1"/>
          <w:sz w:val="24"/>
          <w:szCs w:val="24"/>
        </w:rPr>
        <w:t>,</w:t>
      </w:r>
      <w:r w:rsidRPr="008132E3">
        <w:rPr>
          <w:color w:val="000000" w:themeColor="text1"/>
          <w:sz w:val="24"/>
          <w:szCs w:val="24"/>
        </w:rPr>
        <w:t xml:space="preserve"> damages ha</w:t>
      </w:r>
      <w:r>
        <w:rPr>
          <w:color w:val="000000" w:themeColor="text1"/>
          <w:sz w:val="24"/>
          <w:szCs w:val="24"/>
        </w:rPr>
        <w:t>d</w:t>
      </w:r>
      <w:r w:rsidRPr="008132E3">
        <w:rPr>
          <w:color w:val="000000" w:themeColor="text1"/>
          <w:sz w:val="24"/>
          <w:szCs w:val="24"/>
        </w:rPr>
        <w:t xml:space="preserve"> arisen that d</w:t>
      </w:r>
      <w:r>
        <w:rPr>
          <w:color w:val="000000" w:themeColor="text1"/>
          <w:sz w:val="24"/>
          <w:szCs w:val="24"/>
        </w:rPr>
        <w:t>id</w:t>
      </w:r>
      <w:r w:rsidRPr="008132E3">
        <w:rPr>
          <w:color w:val="000000" w:themeColor="text1"/>
          <w:sz w:val="24"/>
          <w:szCs w:val="24"/>
        </w:rPr>
        <w:t xml:space="preserve"> not arise from the CBA.</w:t>
      </w:r>
      <w:r>
        <w:rPr>
          <w:rStyle w:val="FootnoteReference"/>
          <w:color w:val="000000" w:themeColor="text1"/>
          <w:sz w:val="24"/>
          <w:szCs w:val="24"/>
        </w:rPr>
        <w:footnoteReference w:id="91"/>
      </w:r>
      <w:r w:rsidRPr="008132E3">
        <w:rPr>
          <w:color w:val="000000" w:themeColor="text1"/>
          <w:sz w:val="24"/>
          <w:szCs w:val="24"/>
        </w:rPr>
        <w:t xml:space="preserve"> In considering this analysis, the court held </w:t>
      </w:r>
      <w:r w:rsidRPr="008132E3">
        <w:rPr>
          <w:color w:val="000000" w:themeColor="text1"/>
          <w:sz w:val="24"/>
          <w:szCs w:val="24"/>
        </w:rPr>
        <w:lastRenderedPageBreak/>
        <w:t>that</w:t>
      </w:r>
      <w:r>
        <w:rPr>
          <w:color w:val="000000" w:themeColor="text1"/>
          <w:sz w:val="24"/>
          <w:szCs w:val="24"/>
        </w:rPr>
        <w:t xml:space="preserve"> the</w:t>
      </w:r>
      <w:r w:rsidRPr="008132E3">
        <w:rPr>
          <w:color w:val="000000" w:themeColor="text1"/>
          <w:sz w:val="24"/>
          <w:szCs w:val="24"/>
        </w:rPr>
        <w:t xml:space="preserve"> </w:t>
      </w:r>
      <w:r>
        <w:rPr>
          <w:color w:val="000000" w:themeColor="text1"/>
          <w:sz w:val="24"/>
          <w:szCs w:val="24"/>
        </w:rPr>
        <w:t>p</w:t>
      </w:r>
      <w:r w:rsidRPr="008132E3">
        <w:rPr>
          <w:color w:val="000000" w:themeColor="text1"/>
          <w:sz w:val="24"/>
          <w:szCs w:val="24"/>
        </w:rPr>
        <w:t xml:space="preserve">laintiffs’ negligence claim alleging the NFL violated state and federal statutes was not preempted by </w:t>
      </w:r>
      <w:r w:rsidR="00A175D2">
        <w:rPr>
          <w:color w:val="000000" w:themeColor="text1"/>
          <w:sz w:val="24"/>
          <w:szCs w:val="24"/>
        </w:rPr>
        <w:t>Section 301</w:t>
      </w:r>
      <w:r w:rsidRPr="008132E3">
        <w:rPr>
          <w:color w:val="000000" w:themeColor="text1"/>
          <w:sz w:val="24"/>
          <w:szCs w:val="24"/>
        </w:rPr>
        <w:t>.</w:t>
      </w:r>
      <w:r>
        <w:rPr>
          <w:rStyle w:val="FootnoteReference"/>
          <w:color w:val="000000" w:themeColor="text1"/>
          <w:sz w:val="24"/>
          <w:szCs w:val="24"/>
        </w:rPr>
        <w:footnoteReference w:id="92"/>
      </w:r>
      <w:r w:rsidRPr="008132E3">
        <w:rPr>
          <w:color w:val="000000" w:themeColor="text1"/>
          <w:sz w:val="24"/>
          <w:szCs w:val="24"/>
        </w:rPr>
        <w:t xml:space="preserve"> </w:t>
      </w:r>
    </w:p>
    <w:p w14:paraId="2B19A6A9" w14:textId="3F6F1C7E" w:rsidR="005B4449" w:rsidRPr="008132E3" w:rsidRDefault="005B4449" w:rsidP="00E021FB">
      <w:pPr>
        <w:pStyle w:val="NormalWeb"/>
        <w:ind w:firstLine="720"/>
        <w:contextualSpacing/>
        <w:jc w:val="both"/>
        <w:textAlignment w:val="baseline"/>
        <w:rPr>
          <w:color w:val="000000" w:themeColor="text1"/>
          <w:sz w:val="24"/>
          <w:szCs w:val="24"/>
        </w:rPr>
      </w:pPr>
      <w:r w:rsidRPr="008132E3">
        <w:rPr>
          <w:color w:val="000000" w:themeColor="text1"/>
          <w:sz w:val="24"/>
          <w:szCs w:val="24"/>
        </w:rPr>
        <w:t>After the appeals court held liability could be found without reference to the CBA, the court analyzed the claims of negligent hiring and retention and negligent misrepresentation. The court stated that because the CBA did not give rise to the</w:t>
      </w:r>
      <w:r w:rsidRPr="008132E3">
        <w:rPr>
          <w:rStyle w:val="apple-converted-space"/>
          <w:color w:val="000000" w:themeColor="text1"/>
          <w:sz w:val="24"/>
          <w:szCs w:val="24"/>
        </w:rPr>
        <w:t> </w:t>
      </w:r>
      <w:r w:rsidRPr="008132E3">
        <w:rPr>
          <w:color w:val="000000" w:themeColor="text1"/>
          <w:sz w:val="24"/>
          <w:szCs w:val="24"/>
        </w:rPr>
        <w:t>duty</w:t>
      </w:r>
      <w:r>
        <w:rPr>
          <w:color w:val="000000" w:themeColor="text1"/>
          <w:sz w:val="24"/>
          <w:szCs w:val="24"/>
        </w:rPr>
        <w:t>,</w:t>
      </w:r>
      <w:r w:rsidRPr="008132E3">
        <w:rPr>
          <w:color w:val="000000" w:themeColor="text1"/>
          <w:sz w:val="24"/>
          <w:szCs w:val="24"/>
        </w:rPr>
        <w:t xml:space="preserve"> nor was it required </w:t>
      </w:r>
      <w:r>
        <w:rPr>
          <w:color w:val="000000" w:themeColor="text1"/>
          <w:sz w:val="24"/>
          <w:szCs w:val="24"/>
        </w:rPr>
        <w:t>to</w:t>
      </w:r>
      <w:r w:rsidRPr="008132E3">
        <w:rPr>
          <w:color w:val="000000" w:themeColor="text1"/>
          <w:sz w:val="24"/>
          <w:szCs w:val="24"/>
        </w:rPr>
        <w:t xml:space="preserve"> determi</w:t>
      </w:r>
      <w:r>
        <w:rPr>
          <w:color w:val="000000" w:themeColor="text1"/>
          <w:sz w:val="24"/>
          <w:szCs w:val="24"/>
        </w:rPr>
        <w:t>ne</w:t>
      </w:r>
      <w:r w:rsidRPr="008132E3">
        <w:rPr>
          <w:color w:val="000000" w:themeColor="text1"/>
          <w:sz w:val="24"/>
          <w:szCs w:val="24"/>
        </w:rPr>
        <w:t xml:space="preserve"> a breach, the</w:t>
      </w:r>
      <w:r>
        <w:rPr>
          <w:color w:val="000000" w:themeColor="text1"/>
          <w:sz w:val="24"/>
          <w:szCs w:val="24"/>
        </w:rPr>
        <w:t>re was no preemption for the</w:t>
      </w:r>
      <w:r w:rsidRPr="008132E3">
        <w:rPr>
          <w:color w:val="000000" w:themeColor="text1"/>
          <w:sz w:val="24"/>
          <w:szCs w:val="24"/>
        </w:rPr>
        <w:t xml:space="preserve"> negligent hiring and retention </w:t>
      </w:r>
      <w:r>
        <w:rPr>
          <w:color w:val="000000" w:themeColor="text1"/>
          <w:sz w:val="24"/>
          <w:szCs w:val="24"/>
        </w:rPr>
        <w:t>claim</w:t>
      </w:r>
      <w:r w:rsidRPr="008132E3">
        <w:rPr>
          <w:color w:val="000000" w:themeColor="text1"/>
          <w:sz w:val="24"/>
          <w:szCs w:val="24"/>
        </w:rPr>
        <w:t>.</w:t>
      </w:r>
      <w:r>
        <w:rPr>
          <w:rStyle w:val="FootnoteReference"/>
          <w:color w:val="000000" w:themeColor="text1"/>
          <w:sz w:val="24"/>
          <w:szCs w:val="24"/>
        </w:rPr>
        <w:footnoteReference w:id="93"/>
      </w:r>
      <w:r w:rsidRPr="008132E3">
        <w:rPr>
          <w:color w:val="000000" w:themeColor="text1"/>
          <w:sz w:val="24"/>
          <w:szCs w:val="24"/>
        </w:rPr>
        <w:t xml:space="preserve"> </w:t>
      </w:r>
    </w:p>
    <w:p w14:paraId="121B5998" w14:textId="1594787C" w:rsidR="005B4449" w:rsidRPr="008132E3" w:rsidRDefault="005B4449" w:rsidP="00E021FB">
      <w:pPr>
        <w:pStyle w:val="NormalWeb"/>
        <w:ind w:firstLine="720"/>
        <w:contextualSpacing/>
        <w:jc w:val="both"/>
        <w:textAlignment w:val="baseline"/>
        <w:rPr>
          <w:color w:val="000000" w:themeColor="text1"/>
          <w:sz w:val="24"/>
          <w:szCs w:val="24"/>
        </w:rPr>
      </w:pPr>
      <w:r>
        <w:rPr>
          <w:color w:val="000000" w:themeColor="text1"/>
          <w:sz w:val="24"/>
          <w:szCs w:val="24"/>
        </w:rPr>
        <w:t>In</w:t>
      </w:r>
      <w:r w:rsidRPr="008132E3">
        <w:rPr>
          <w:color w:val="000000" w:themeColor="text1"/>
          <w:sz w:val="24"/>
          <w:szCs w:val="24"/>
        </w:rPr>
        <w:t xml:space="preserve"> the claim of negligent misrepresentation, the players asserted that the NFL “continuously and systematically” misrepresented the risks associated with the medications at issue, that they reasonably relied on those misrepresentations, and that they were injured as a result.</w:t>
      </w:r>
      <w:r>
        <w:rPr>
          <w:rStyle w:val="FootnoteReference"/>
          <w:color w:val="000000" w:themeColor="text1"/>
          <w:sz w:val="24"/>
          <w:szCs w:val="24"/>
        </w:rPr>
        <w:footnoteReference w:id="94"/>
      </w:r>
      <w:r w:rsidRPr="008132E3">
        <w:rPr>
          <w:color w:val="000000" w:themeColor="text1"/>
          <w:sz w:val="24"/>
          <w:szCs w:val="24"/>
        </w:rPr>
        <w:t xml:space="preserve"> The NFL responded </w:t>
      </w:r>
      <w:r>
        <w:rPr>
          <w:color w:val="000000" w:themeColor="text1"/>
          <w:sz w:val="24"/>
          <w:szCs w:val="24"/>
        </w:rPr>
        <w:t>by</w:t>
      </w:r>
      <w:r w:rsidRPr="008132E3">
        <w:rPr>
          <w:color w:val="000000" w:themeColor="text1"/>
          <w:sz w:val="24"/>
          <w:szCs w:val="24"/>
        </w:rPr>
        <w:t xml:space="preserve"> arguing that the scope of its duty to the players would require interpretation of the CBA provisions related to </w:t>
      </w:r>
      <w:r w:rsidR="0013617E">
        <w:rPr>
          <w:color w:val="000000" w:themeColor="text1"/>
          <w:sz w:val="24"/>
          <w:szCs w:val="24"/>
        </w:rPr>
        <w:t>“</w:t>
      </w:r>
      <w:r w:rsidRPr="008132E3">
        <w:rPr>
          <w:color w:val="000000" w:themeColor="text1"/>
          <w:sz w:val="24"/>
          <w:szCs w:val="24"/>
        </w:rPr>
        <w:t>medical care, including those that give players the right to access medical facilities, view their medical records, and obtain second opinions</w:t>
      </w:r>
      <w:r w:rsidR="0013617E">
        <w:rPr>
          <w:color w:val="000000" w:themeColor="text1"/>
          <w:sz w:val="24"/>
          <w:szCs w:val="24"/>
        </w:rPr>
        <w:t>.”</w:t>
      </w:r>
      <w:r>
        <w:rPr>
          <w:rStyle w:val="FootnoteReference"/>
          <w:color w:val="000000" w:themeColor="text1"/>
          <w:sz w:val="24"/>
          <w:szCs w:val="24"/>
        </w:rPr>
        <w:footnoteReference w:id="95"/>
      </w:r>
      <w:r w:rsidRPr="008132E3">
        <w:rPr>
          <w:color w:val="000000" w:themeColor="text1"/>
          <w:sz w:val="24"/>
          <w:szCs w:val="24"/>
        </w:rPr>
        <w:t xml:space="preserve"> Additionally, the NFL argued it would be impossible to determine if the plaintiffs reasonably relied on the representations without interpreting CBA provisions related to team doctors</w:t>
      </w:r>
      <w:r w:rsidR="00353A27">
        <w:rPr>
          <w:color w:val="000000" w:themeColor="text1"/>
          <w:sz w:val="24"/>
          <w:szCs w:val="24"/>
        </w:rPr>
        <w:t>’</w:t>
      </w:r>
      <w:r w:rsidRPr="008132E3">
        <w:rPr>
          <w:color w:val="000000" w:themeColor="text1"/>
          <w:sz w:val="24"/>
          <w:szCs w:val="24"/>
        </w:rPr>
        <w:t xml:space="preserve"> disclosure obligations.</w:t>
      </w:r>
      <w:r>
        <w:rPr>
          <w:rStyle w:val="FootnoteReference"/>
          <w:color w:val="000000" w:themeColor="text1"/>
          <w:sz w:val="24"/>
          <w:szCs w:val="24"/>
        </w:rPr>
        <w:footnoteReference w:id="96"/>
      </w:r>
      <w:r w:rsidRPr="008132E3">
        <w:rPr>
          <w:color w:val="000000" w:themeColor="text1"/>
          <w:sz w:val="24"/>
          <w:szCs w:val="24"/>
        </w:rPr>
        <w:t xml:space="preserve"> </w:t>
      </w:r>
    </w:p>
    <w:p w14:paraId="3E48D889" w14:textId="0941C41E" w:rsidR="005B4449" w:rsidRPr="008132E3" w:rsidRDefault="005B4449" w:rsidP="00E021FB">
      <w:pPr>
        <w:pStyle w:val="NormalWeb"/>
        <w:ind w:firstLine="720"/>
        <w:contextualSpacing/>
        <w:jc w:val="both"/>
        <w:textAlignment w:val="baseline"/>
        <w:rPr>
          <w:color w:val="000000" w:themeColor="text1"/>
          <w:sz w:val="24"/>
          <w:szCs w:val="24"/>
        </w:rPr>
      </w:pPr>
      <w:r w:rsidRPr="008132E3">
        <w:rPr>
          <w:color w:val="000000" w:themeColor="text1"/>
          <w:sz w:val="24"/>
          <w:szCs w:val="24"/>
        </w:rPr>
        <w:t xml:space="preserve">The court </w:t>
      </w:r>
      <w:r>
        <w:rPr>
          <w:color w:val="000000" w:themeColor="text1"/>
          <w:sz w:val="24"/>
          <w:szCs w:val="24"/>
        </w:rPr>
        <w:t>responded</w:t>
      </w:r>
      <w:r w:rsidRPr="008132E3">
        <w:rPr>
          <w:color w:val="000000" w:themeColor="text1"/>
          <w:sz w:val="24"/>
          <w:szCs w:val="24"/>
        </w:rPr>
        <w:t xml:space="preserve"> to the NFL</w:t>
      </w:r>
      <w:r w:rsidR="0013617E">
        <w:rPr>
          <w:color w:val="000000" w:themeColor="text1"/>
          <w:sz w:val="24"/>
          <w:szCs w:val="24"/>
        </w:rPr>
        <w:t>’</w:t>
      </w:r>
      <w:r w:rsidRPr="008132E3">
        <w:rPr>
          <w:color w:val="000000" w:themeColor="text1"/>
          <w:sz w:val="24"/>
          <w:szCs w:val="24"/>
        </w:rPr>
        <w:t xml:space="preserve">s arguments </w:t>
      </w:r>
      <w:r>
        <w:rPr>
          <w:color w:val="000000" w:themeColor="text1"/>
          <w:sz w:val="24"/>
          <w:szCs w:val="24"/>
        </w:rPr>
        <w:t xml:space="preserve">by noting </w:t>
      </w:r>
      <w:r w:rsidRPr="008132E3">
        <w:rPr>
          <w:color w:val="000000" w:themeColor="text1"/>
          <w:sz w:val="24"/>
          <w:szCs w:val="24"/>
        </w:rPr>
        <w:t>that California law does not require the various parties</w:t>
      </w:r>
      <w:r w:rsidR="00353A27">
        <w:rPr>
          <w:color w:val="000000" w:themeColor="text1"/>
          <w:sz w:val="24"/>
          <w:szCs w:val="24"/>
        </w:rPr>
        <w:t>’</w:t>
      </w:r>
      <w:r w:rsidRPr="008132E3">
        <w:rPr>
          <w:color w:val="000000" w:themeColor="text1"/>
          <w:sz w:val="24"/>
          <w:szCs w:val="24"/>
        </w:rPr>
        <w:t xml:space="preserve"> disclosures to be weighed, but instead, whether </w:t>
      </w:r>
      <w:r>
        <w:rPr>
          <w:color w:val="000000" w:themeColor="text1"/>
          <w:sz w:val="24"/>
          <w:szCs w:val="24"/>
        </w:rPr>
        <w:t xml:space="preserve">the </w:t>
      </w:r>
      <w:r w:rsidRPr="008132E3">
        <w:rPr>
          <w:color w:val="000000" w:themeColor="text1"/>
          <w:sz w:val="24"/>
          <w:szCs w:val="24"/>
        </w:rPr>
        <w:t xml:space="preserve">circumstances were such that it would be reasonable for the </w:t>
      </w:r>
      <w:r>
        <w:rPr>
          <w:color w:val="000000" w:themeColor="text1"/>
          <w:sz w:val="24"/>
          <w:szCs w:val="24"/>
        </w:rPr>
        <w:t>p</w:t>
      </w:r>
      <w:r w:rsidRPr="008132E3">
        <w:rPr>
          <w:color w:val="000000" w:themeColor="text1"/>
          <w:sz w:val="24"/>
          <w:szCs w:val="24"/>
        </w:rPr>
        <w:t>laintiffs to rely on the NFL</w:t>
      </w:r>
      <w:r w:rsidR="0013617E">
        <w:rPr>
          <w:color w:val="000000" w:themeColor="text1"/>
          <w:sz w:val="24"/>
          <w:szCs w:val="24"/>
        </w:rPr>
        <w:t>’</w:t>
      </w:r>
      <w:r w:rsidRPr="008132E3">
        <w:rPr>
          <w:color w:val="000000" w:themeColor="text1"/>
          <w:sz w:val="24"/>
          <w:szCs w:val="24"/>
        </w:rPr>
        <w:t>s statements without independent inquiry or investigation.</w:t>
      </w:r>
      <w:r>
        <w:rPr>
          <w:rStyle w:val="FootnoteReference"/>
          <w:color w:val="000000" w:themeColor="text1"/>
          <w:sz w:val="24"/>
          <w:szCs w:val="24"/>
        </w:rPr>
        <w:footnoteReference w:id="97"/>
      </w:r>
      <w:r w:rsidRPr="008132E3">
        <w:rPr>
          <w:color w:val="000000" w:themeColor="text1"/>
          <w:sz w:val="24"/>
          <w:szCs w:val="24"/>
        </w:rPr>
        <w:t xml:space="preserve"> Although sister courts to the Ninth Circuit found that interpretation of a CBA was necessary, this case differed in that</w:t>
      </w:r>
      <w:r>
        <w:rPr>
          <w:color w:val="000000" w:themeColor="text1"/>
          <w:sz w:val="24"/>
          <w:szCs w:val="24"/>
        </w:rPr>
        <w:t>,</w:t>
      </w:r>
      <w:r w:rsidRPr="008132E3">
        <w:rPr>
          <w:color w:val="000000" w:themeColor="text1"/>
          <w:sz w:val="24"/>
          <w:szCs w:val="24"/>
        </w:rPr>
        <w:t xml:space="preserve"> </w:t>
      </w:r>
      <w:r w:rsidR="0013617E">
        <w:rPr>
          <w:color w:val="000000" w:themeColor="text1"/>
          <w:sz w:val="24"/>
          <w:szCs w:val="24"/>
        </w:rPr>
        <w:t>“</w:t>
      </w:r>
      <w:r w:rsidRPr="008132E3">
        <w:rPr>
          <w:color w:val="000000" w:themeColor="text1"/>
          <w:sz w:val="24"/>
          <w:szCs w:val="24"/>
        </w:rPr>
        <w:t>no provision of the CBAs even arguably render the players</w:t>
      </w:r>
      <w:r w:rsidR="00353A27">
        <w:rPr>
          <w:color w:val="000000" w:themeColor="text1"/>
          <w:sz w:val="24"/>
          <w:szCs w:val="24"/>
        </w:rPr>
        <w:t>’</w:t>
      </w:r>
      <w:r w:rsidRPr="008132E3">
        <w:rPr>
          <w:color w:val="000000" w:themeColor="text1"/>
          <w:sz w:val="24"/>
          <w:szCs w:val="24"/>
        </w:rPr>
        <w:t xml:space="preserve"> reliance on the NFL</w:t>
      </w:r>
      <w:r w:rsidR="00353A27">
        <w:rPr>
          <w:color w:val="000000" w:themeColor="text1"/>
          <w:sz w:val="24"/>
          <w:szCs w:val="24"/>
        </w:rPr>
        <w:t>’</w:t>
      </w:r>
      <w:r w:rsidRPr="008132E3">
        <w:rPr>
          <w:color w:val="000000" w:themeColor="text1"/>
          <w:sz w:val="24"/>
          <w:szCs w:val="24"/>
        </w:rPr>
        <w:t>s purported representations unreasonable,</w:t>
      </w:r>
      <w:r w:rsidR="0013617E">
        <w:rPr>
          <w:color w:val="000000" w:themeColor="text1"/>
          <w:sz w:val="24"/>
          <w:szCs w:val="24"/>
        </w:rPr>
        <w:t>”</w:t>
      </w:r>
      <w:r w:rsidRPr="008132E3">
        <w:rPr>
          <w:color w:val="000000" w:themeColor="text1"/>
          <w:sz w:val="24"/>
          <w:szCs w:val="24"/>
        </w:rPr>
        <w:t xml:space="preserve"> and therefore, the claim is not preempted. More importantly, the court stated, </w:t>
      </w:r>
      <w:r w:rsidR="0013617E">
        <w:rPr>
          <w:color w:val="000000" w:themeColor="text1"/>
          <w:sz w:val="24"/>
          <w:szCs w:val="24"/>
        </w:rPr>
        <w:t>“</w:t>
      </w:r>
      <w:r w:rsidRPr="008132E3">
        <w:rPr>
          <w:color w:val="000000" w:themeColor="text1"/>
          <w:sz w:val="24"/>
          <w:szCs w:val="24"/>
        </w:rPr>
        <w:t>As we have said, none of the CBA provisions address the NFL</w:t>
      </w:r>
      <w:r w:rsidR="00353A27">
        <w:rPr>
          <w:color w:val="000000" w:themeColor="text1"/>
          <w:sz w:val="24"/>
          <w:szCs w:val="24"/>
        </w:rPr>
        <w:t>’</w:t>
      </w:r>
      <w:r w:rsidRPr="008132E3">
        <w:rPr>
          <w:color w:val="000000" w:themeColor="text1"/>
          <w:sz w:val="24"/>
          <w:szCs w:val="24"/>
        </w:rPr>
        <w:t xml:space="preserve">s responsibilities </w:t>
      </w:r>
      <w:r>
        <w:rPr>
          <w:color w:val="000000" w:themeColor="text1"/>
          <w:sz w:val="24"/>
          <w:szCs w:val="24"/>
        </w:rPr>
        <w:t>concerning</w:t>
      </w:r>
      <w:r w:rsidRPr="008132E3">
        <w:rPr>
          <w:color w:val="000000" w:themeColor="text1"/>
          <w:sz w:val="24"/>
          <w:szCs w:val="24"/>
        </w:rPr>
        <w:t xml:space="preserve"> the distribution of prescription drugs.</w:t>
      </w:r>
      <w:r w:rsidR="0013617E">
        <w:rPr>
          <w:color w:val="000000" w:themeColor="text1"/>
          <w:sz w:val="24"/>
          <w:szCs w:val="24"/>
        </w:rPr>
        <w:t>”</w:t>
      </w:r>
      <w:r>
        <w:rPr>
          <w:rStyle w:val="FootnoteReference"/>
          <w:color w:val="000000" w:themeColor="text1"/>
          <w:sz w:val="24"/>
          <w:szCs w:val="24"/>
        </w:rPr>
        <w:footnoteReference w:id="98"/>
      </w:r>
    </w:p>
    <w:p w14:paraId="0BA7E214" w14:textId="2A0E390D" w:rsidR="005B4449" w:rsidRPr="008132E3" w:rsidRDefault="005B4449" w:rsidP="00E021FB">
      <w:pPr>
        <w:pStyle w:val="NormalWeb"/>
        <w:ind w:firstLine="720"/>
        <w:contextualSpacing/>
        <w:jc w:val="both"/>
        <w:textAlignment w:val="baseline"/>
        <w:rPr>
          <w:color w:val="000000" w:themeColor="text1"/>
          <w:sz w:val="24"/>
          <w:szCs w:val="24"/>
        </w:rPr>
      </w:pPr>
      <w:r w:rsidRPr="008132E3">
        <w:rPr>
          <w:color w:val="000000" w:themeColor="text1"/>
          <w:sz w:val="24"/>
          <w:szCs w:val="24"/>
        </w:rPr>
        <w:t xml:space="preserve">Next, the court applied its two-step analysis to </w:t>
      </w:r>
      <w:r w:rsidRPr="00D94E17">
        <w:rPr>
          <w:i/>
          <w:iCs/>
          <w:color w:val="000000" w:themeColor="text1"/>
          <w:sz w:val="24"/>
          <w:szCs w:val="24"/>
        </w:rPr>
        <w:t>Dent</w:t>
      </w:r>
      <w:r w:rsidRPr="00353A27">
        <w:rPr>
          <w:color w:val="000000" w:themeColor="text1"/>
          <w:sz w:val="24"/>
          <w:szCs w:val="24"/>
        </w:rPr>
        <w:t>’s</w:t>
      </w:r>
      <w:r w:rsidRPr="008132E3">
        <w:rPr>
          <w:color w:val="000000" w:themeColor="text1"/>
          <w:sz w:val="24"/>
          <w:szCs w:val="24"/>
        </w:rPr>
        <w:t xml:space="preserve"> </w:t>
      </w:r>
      <w:r>
        <w:rPr>
          <w:color w:val="000000" w:themeColor="text1"/>
          <w:sz w:val="24"/>
          <w:szCs w:val="24"/>
        </w:rPr>
        <w:t>f</w:t>
      </w:r>
      <w:r w:rsidRPr="008132E3">
        <w:rPr>
          <w:color w:val="000000" w:themeColor="text1"/>
          <w:sz w:val="24"/>
          <w:szCs w:val="24"/>
        </w:rPr>
        <w:t>raud-</w:t>
      </w:r>
      <w:r>
        <w:rPr>
          <w:color w:val="000000" w:themeColor="text1"/>
          <w:sz w:val="24"/>
          <w:szCs w:val="24"/>
        </w:rPr>
        <w:t>b</w:t>
      </w:r>
      <w:r w:rsidRPr="008132E3">
        <w:rPr>
          <w:color w:val="000000" w:themeColor="text1"/>
          <w:sz w:val="24"/>
          <w:szCs w:val="24"/>
        </w:rPr>
        <w:t xml:space="preserve">ased </w:t>
      </w:r>
      <w:r>
        <w:rPr>
          <w:color w:val="000000" w:themeColor="text1"/>
          <w:sz w:val="24"/>
          <w:szCs w:val="24"/>
        </w:rPr>
        <w:t>c</w:t>
      </w:r>
      <w:r w:rsidRPr="008132E3">
        <w:rPr>
          <w:color w:val="000000" w:themeColor="text1"/>
          <w:sz w:val="24"/>
          <w:szCs w:val="24"/>
        </w:rPr>
        <w:t>laims.</w:t>
      </w:r>
      <w:r>
        <w:rPr>
          <w:rStyle w:val="FootnoteReference"/>
          <w:color w:val="000000" w:themeColor="text1"/>
          <w:sz w:val="24"/>
          <w:szCs w:val="24"/>
        </w:rPr>
        <w:footnoteReference w:id="99"/>
      </w:r>
      <w:r w:rsidRPr="008132E3">
        <w:rPr>
          <w:color w:val="000000" w:themeColor="text1"/>
          <w:sz w:val="24"/>
          <w:szCs w:val="24"/>
        </w:rPr>
        <w:t xml:space="preserve"> The appeals court quickly determined that the players</w:t>
      </w:r>
      <w:r w:rsidR="0013617E">
        <w:rPr>
          <w:color w:val="000000" w:themeColor="text1"/>
          <w:sz w:val="24"/>
          <w:szCs w:val="24"/>
        </w:rPr>
        <w:t>’</w:t>
      </w:r>
      <w:r w:rsidRPr="008132E3">
        <w:rPr>
          <w:color w:val="000000" w:themeColor="text1"/>
          <w:sz w:val="24"/>
          <w:szCs w:val="24"/>
        </w:rPr>
        <w:t xml:space="preserve"> claims for fraud and fraudulent concealment were not preempted under </w:t>
      </w:r>
      <w:r w:rsidR="00A175D2">
        <w:rPr>
          <w:color w:val="000000" w:themeColor="text1"/>
          <w:sz w:val="24"/>
          <w:szCs w:val="24"/>
        </w:rPr>
        <w:t>Section 301</w:t>
      </w:r>
      <w:r w:rsidRPr="008132E3">
        <w:rPr>
          <w:color w:val="000000" w:themeColor="text1"/>
          <w:sz w:val="24"/>
          <w:szCs w:val="24"/>
        </w:rPr>
        <w:t>.</w:t>
      </w:r>
      <w:r>
        <w:rPr>
          <w:rStyle w:val="FootnoteReference"/>
          <w:color w:val="000000" w:themeColor="text1"/>
          <w:sz w:val="24"/>
          <w:szCs w:val="24"/>
        </w:rPr>
        <w:footnoteReference w:id="100"/>
      </w:r>
      <w:r w:rsidRPr="008132E3">
        <w:rPr>
          <w:color w:val="000000" w:themeColor="text1"/>
          <w:sz w:val="24"/>
          <w:szCs w:val="24"/>
        </w:rPr>
        <w:t xml:space="preserve"> Using case law, the court laid out </w:t>
      </w:r>
      <w:r w:rsidRPr="008132E3">
        <w:rPr>
          <w:color w:val="000000" w:themeColor="text1"/>
          <w:sz w:val="24"/>
          <w:szCs w:val="24"/>
        </w:rPr>
        <w:lastRenderedPageBreak/>
        <w:t xml:space="preserve">the elements required to establish a </w:t>
      </w:r>
      <w:r w:rsidRPr="00D94E17">
        <w:rPr>
          <w:i/>
          <w:iCs/>
          <w:color w:val="000000" w:themeColor="text1"/>
          <w:sz w:val="24"/>
          <w:szCs w:val="24"/>
        </w:rPr>
        <w:t>prima facie</w:t>
      </w:r>
      <w:r w:rsidRPr="008132E3">
        <w:rPr>
          <w:color w:val="000000" w:themeColor="text1"/>
          <w:sz w:val="24"/>
          <w:szCs w:val="24"/>
        </w:rPr>
        <w:t xml:space="preserve"> case for fraud</w:t>
      </w:r>
      <w:r w:rsidRPr="008132E3">
        <w:rPr>
          <w:rStyle w:val="apple-converted-space"/>
          <w:color w:val="000000" w:themeColor="text1"/>
          <w:sz w:val="24"/>
          <w:szCs w:val="24"/>
        </w:rPr>
        <w:t> </w:t>
      </w:r>
      <w:r w:rsidRPr="008132E3">
        <w:rPr>
          <w:color w:val="000000" w:themeColor="text1"/>
          <w:sz w:val="24"/>
          <w:szCs w:val="24"/>
        </w:rPr>
        <w:t>and fraudulent concealment.</w:t>
      </w:r>
      <w:r>
        <w:rPr>
          <w:rStyle w:val="FootnoteReference"/>
          <w:color w:val="000000" w:themeColor="text1"/>
          <w:sz w:val="24"/>
          <w:szCs w:val="24"/>
        </w:rPr>
        <w:footnoteReference w:id="101"/>
      </w:r>
      <w:r w:rsidRPr="008132E3">
        <w:rPr>
          <w:color w:val="000000" w:themeColor="text1"/>
          <w:sz w:val="24"/>
          <w:szCs w:val="24"/>
        </w:rPr>
        <w:t xml:space="preserve"> </w:t>
      </w:r>
    </w:p>
    <w:p w14:paraId="4298D8BB" w14:textId="2C840900" w:rsidR="005B4449" w:rsidRPr="008132E3" w:rsidRDefault="005B4449" w:rsidP="00E021FB">
      <w:pPr>
        <w:pStyle w:val="NormalWeb"/>
        <w:ind w:firstLine="720"/>
        <w:contextualSpacing/>
        <w:jc w:val="both"/>
        <w:textAlignment w:val="baseline"/>
        <w:rPr>
          <w:color w:val="000000" w:themeColor="text1"/>
          <w:sz w:val="24"/>
          <w:szCs w:val="24"/>
        </w:rPr>
      </w:pPr>
      <w:r w:rsidRPr="008132E3">
        <w:rPr>
          <w:color w:val="000000" w:themeColor="text1"/>
          <w:sz w:val="24"/>
          <w:szCs w:val="24"/>
        </w:rPr>
        <w:t xml:space="preserve">The players alleged that the NFL </w:t>
      </w:r>
      <w:r w:rsidR="0013617E">
        <w:rPr>
          <w:color w:val="000000" w:themeColor="text1"/>
          <w:sz w:val="24"/>
          <w:szCs w:val="24"/>
        </w:rPr>
        <w:t>“</w:t>
      </w:r>
      <w:r w:rsidRPr="008132E3">
        <w:rPr>
          <w:color w:val="000000" w:themeColor="text1"/>
          <w:sz w:val="24"/>
          <w:szCs w:val="24"/>
        </w:rPr>
        <w:t>knew, or should have known, that its provisions and administration of medications created a substantial risk of causing addictions and related physical and mental problems,</w:t>
      </w:r>
      <w:r w:rsidR="0013617E">
        <w:rPr>
          <w:color w:val="000000" w:themeColor="text1"/>
          <w:sz w:val="24"/>
          <w:szCs w:val="24"/>
        </w:rPr>
        <w:t>”</w:t>
      </w:r>
      <w:r w:rsidRPr="008132E3">
        <w:rPr>
          <w:color w:val="000000" w:themeColor="text1"/>
          <w:sz w:val="24"/>
          <w:szCs w:val="24"/>
        </w:rPr>
        <w:t xml:space="preserve"> and the NFL intentionally withheld this information with the intent to deceive the players.</w:t>
      </w:r>
      <w:r>
        <w:rPr>
          <w:rStyle w:val="FootnoteReference"/>
          <w:color w:val="000000" w:themeColor="text1"/>
          <w:sz w:val="24"/>
          <w:szCs w:val="24"/>
        </w:rPr>
        <w:footnoteReference w:id="102"/>
      </w:r>
      <w:r w:rsidRPr="008132E3">
        <w:rPr>
          <w:color w:val="000000" w:themeColor="text1"/>
          <w:sz w:val="24"/>
          <w:szCs w:val="24"/>
        </w:rPr>
        <w:t xml:space="preserve"> The NFL failed to cite any analogous CBA provision that would resolve the players</w:t>
      </w:r>
      <w:r w:rsidR="0013617E">
        <w:rPr>
          <w:color w:val="000000" w:themeColor="text1"/>
          <w:sz w:val="24"/>
          <w:szCs w:val="24"/>
        </w:rPr>
        <w:t>’</w:t>
      </w:r>
      <w:r w:rsidRPr="008132E3">
        <w:rPr>
          <w:color w:val="000000" w:themeColor="text1"/>
          <w:sz w:val="24"/>
          <w:szCs w:val="24"/>
        </w:rPr>
        <w:t xml:space="preserve"> fraud-based claims. Instead, the NFL again argued that </w:t>
      </w:r>
      <w:r>
        <w:rPr>
          <w:color w:val="000000" w:themeColor="text1"/>
          <w:sz w:val="24"/>
          <w:szCs w:val="24"/>
        </w:rPr>
        <w:t xml:space="preserve">to </w:t>
      </w:r>
      <w:r w:rsidRPr="008132E3">
        <w:rPr>
          <w:color w:val="000000" w:themeColor="text1"/>
          <w:sz w:val="24"/>
          <w:szCs w:val="24"/>
        </w:rPr>
        <w:t>assess the existence of its duty to make disclosures</w:t>
      </w:r>
      <w:r>
        <w:rPr>
          <w:color w:val="000000" w:themeColor="text1"/>
          <w:sz w:val="24"/>
          <w:szCs w:val="24"/>
        </w:rPr>
        <w:t>, as well as</w:t>
      </w:r>
      <w:r w:rsidRPr="008132E3">
        <w:rPr>
          <w:color w:val="000000" w:themeColor="text1"/>
          <w:sz w:val="24"/>
          <w:szCs w:val="24"/>
        </w:rPr>
        <w:t xml:space="preserve"> whether the players</w:t>
      </w:r>
      <w:r w:rsidR="0013617E">
        <w:rPr>
          <w:color w:val="000000" w:themeColor="text1"/>
          <w:sz w:val="24"/>
          <w:szCs w:val="24"/>
        </w:rPr>
        <w:t>’</w:t>
      </w:r>
      <w:r w:rsidRPr="008132E3">
        <w:rPr>
          <w:color w:val="000000" w:themeColor="text1"/>
          <w:sz w:val="24"/>
          <w:szCs w:val="24"/>
        </w:rPr>
        <w:t xml:space="preserve"> reliance was reasonable</w:t>
      </w:r>
      <w:r>
        <w:rPr>
          <w:color w:val="000000" w:themeColor="text1"/>
          <w:sz w:val="24"/>
          <w:szCs w:val="24"/>
        </w:rPr>
        <w:t>,</w:t>
      </w:r>
      <w:r w:rsidRPr="008132E3">
        <w:rPr>
          <w:color w:val="000000" w:themeColor="text1"/>
          <w:sz w:val="24"/>
          <w:szCs w:val="24"/>
        </w:rPr>
        <w:t xml:space="preserve"> </w:t>
      </w:r>
      <w:r>
        <w:rPr>
          <w:color w:val="000000" w:themeColor="text1"/>
          <w:sz w:val="24"/>
          <w:szCs w:val="24"/>
        </w:rPr>
        <w:t>it was necessary to</w:t>
      </w:r>
      <w:r w:rsidRPr="008132E3">
        <w:rPr>
          <w:color w:val="000000" w:themeColor="text1"/>
          <w:sz w:val="24"/>
          <w:szCs w:val="24"/>
        </w:rPr>
        <w:t xml:space="preserve"> interpret the CBA provisions that required club physicians to make certain disclosures.</w:t>
      </w:r>
      <w:r>
        <w:rPr>
          <w:rStyle w:val="FootnoteReference"/>
          <w:color w:val="000000" w:themeColor="text1"/>
          <w:sz w:val="24"/>
          <w:szCs w:val="24"/>
        </w:rPr>
        <w:footnoteReference w:id="103"/>
      </w:r>
    </w:p>
    <w:p w14:paraId="7CBF5200" w14:textId="00AD28F7" w:rsidR="005B4449" w:rsidRPr="008132E3" w:rsidRDefault="005B4449" w:rsidP="00E021FB">
      <w:pPr>
        <w:pStyle w:val="NormalWeb"/>
        <w:ind w:firstLine="720"/>
        <w:contextualSpacing/>
        <w:jc w:val="both"/>
        <w:textAlignment w:val="baseline"/>
        <w:rPr>
          <w:color w:val="000000" w:themeColor="text1"/>
          <w:sz w:val="24"/>
          <w:szCs w:val="24"/>
        </w:rPr>
      </w:pPr>
      <w:r w:rsidRPr="008132E3">
        <w:rPr>
          <w:color w:val="000000" w:themeColor="text1"/>
          <w:sz w:val="24"/>
          <w:szCs w:val="24"/>
        </w:rPr>
        <w:t>The court disagreed with the NFL</w:t>
      </w:r>
      <w:r w:rsidR="0013617E">
        <w:rPr>
          <w:color w:val="000000" w:themeColor="text1"/>
          <w:sz w:val="24"/>
          <w:szCs w:val="24"/>
        </w:rPr>
        <w:t>’</w:t>
      </w:r>
      <w:r w:rsidRPr="008132E3">
        <w:rPr>
          <w:color w:val="000000" w:themeColor="text1"/>
          <w:sz w:val="24"/>
          <w:szCs w:val="24"/>
        </w:rPr>
        <w:t xml:space="preserve">s argument and reasoned that </w:t>
      </w:r>
      <w:r>
        <w:rPr>
          <w:color w:val="000000" w:themeColor="text1"/>
          <w:sz w:val="24"/>
          <w:szCs w:val="24"/>
        </w:rPr>
        <w:t xml:space="preserve">because </w:t>
      </w:r>
      <w:r w:rsidRPr="008132E3">
        <w:rPr>
          <w:color w:val="000000" w:themeColor="text1"/>
          <w:sz w:val="24"/>
          <w:szCs w:val="24"/>
        </w:rPr>
        <w:t>the players</w:t>
      </w:r>
      <w:r w:rsidR="0013617E">
        <w:rPr>
          <w:color w:val="000000" w:themeColor="text1"/>
          <w:sz w:val="24"/>
          <w:szCs w:val="24"/>
        </w:rPr>
        <w:t>’</w:t>
      </w:r>
      <w:r w:rsidRPr="008132E3">
        <w:rPr>
          <w:color w:val="000000" w:themeColor="text1"/>
          <w:sz w:val="24"/>
          <w:szCs w:val="24"/>
        </w:rPr>
        <w:t xml:space="preserve"> claims </w:t>
      </w:r>
      <w:r>
        <w:rPr>
          <w:color w:val="000000" w:themeColor="text1"/>
          <w:sz w:val="24"/>
          <w:szCs w:val="24"/>
        </w:rPr>
        <w:t>we</w:t>
      </w:r>
      <w:r w:rsidRPr="008132E3">
        <w:rPr>
          <w:color w:val="000000" w:themeColor="text1"/>
          <w:sz w:val="24"/>
          <w:szCs w:val="24"/>
        </w:rPr>
        <w:t>re based on the NFL</w:t>
      </w:r>
      <w:r w:rsidR="0013617E">
        <w:rPr>
          <w:color w:val="000000" w:themeColor="text1"/>
          <w:sz w:val="24"/>
          <w:szCs w:val="24"/>
        </w:rPr>
        <w:t>’</w:t>
      </w:r>
      <w:r w:rsidRPr="008132E3">
        <w:rPr>
          <w:color w:val="000000" w:themeColor="text1"/>
          <w:sz w:val="24"/>
          <w:szCs w:val="24"/>
        </w:rPr>
        <w:t>s conduct, interpretat</w:t>
      </w:r>
      <w:r>
        <w:rPr>
          <w:color w:val="000000" w:themeColor="text1"/>
          <w:sz w:val="24"/>
          <w:szCs w:val="24"/>
        </w:rPr>
        <w:t>ing</w:t>
      </w:r>
      <w:r w:rsidRPr="008132E3">
        <w:rPr>
          <w:color w:val="000000" w:themeColor="text1"/>
          <w:sz w:val="24"/>
          <w:szCs w:val="24"/>
        </w:rPr>
        <w:t xml:space="preserve"> </w:t>
      </w:r>
      <w:r>
        <w:rPr>
          <w:color w:val="000000" w:themeColor="text1"/>
          <w:sz w:val="24"/>
          <w:szCs w:val="24"/>
        </w:rPr>
        <w:t>the</w:t>
      </w:r>
      <w:r w:rsidRPr="008132E3">
        <w:rPr>
          <w:color w:val="000000" w:themeColor="text1"/>
          <w:sz w:val="24"/>
          <w:szCs w:val="24"/>
        </w:rPr>
        <w:t xml:space="preserve"> team-doctor disclosure provisions was not required. Essentially, the court stated that the NFL</w:t>
      </w:r>
      <w:r w:rsidR="0013617E">
        <w:rPr>
          <w:color w:val="000000" w:themeColor="text1"/>
          <w:sz w:val="24"/>
          <w:szCs w:val="24"/>
        </w:rPr>
        <w:t>’</w:t>
      </w:r>
      <w:r w:rsidRPr="008132E3">
        <w:rPr>
          <w:color w:val="000000" w:themeColor="text1"/>
          <w:sz w:val="24"/>
          <w:szCs w:val="24"/>
        </w:rPr>
        <w:t>s duty arose from the character of the act by the NFL and not from the CBA.</w:t>
      </w:r>
      <w:r>
        <w:rPr>
          <w:rStyle w:val="FootnoteReference"/>
          <w:color w:val="000000" w:themeColor="text1"/>
          <w:sz w:val="24"/>
          <w:szCs w:val="24"/>
        </w:rPr>
        <w:footnoteReference w:id="104"/>
      </w:r>
    </w:p>
    <w:p w14:paraId="52B9C28F" w14:textId="2BABBE46" w:rsidR="005B4449" w:rsidRPr="008132E3" w:rsidRDefault="005B4449" w:rsidP="00E021FB">
      <w:pPr>
        <w:pStyle w:val="NormalWeb"/>
        <w:ind w:firstLine="720"/>
        <w:contextualSpacing/>
        <w:jc w:val="both"/>
        <w:textAlignment w:val="baseline"/>
        <w:rPr>
          <w:color w:val="000000" w:themeColor="text1"/>
          <w:sz w:val="24"/>
          <w:szCs w:val="24"/>
        </w:rPr>
      </w:pPr>
      <w:r w:rsidRPr="008132E3">
        <w:rPr>
          <w:color w:val="000000" w:themeColor="text1"/>
          <w:sz w:val="24"/>
          <w:szCs w:val="24"/>
        </w:rPr>
        <w:t xml:space="preserve">Judge Tallman concluded by </w:t>
      </w:r>
      <w:r>
        <w:rPr>
          <w:color w:val="000000" w:themeColor="text1"/>
          <w:sz w:val="24"/>
          <w:szCs w:val="24"/>
        </w:rPr>
        <w:t>stating that</w:t>
      </w:r>
      <w:r w:rsidRPr="008132E3">
        <w:rPr>
          <w:color w:val="000000" w:themeColor="text1"/>
          <w:sz w:val="24"/>
          <w:szCs w:val="24"/>
        </w:rPr>
        <w:t xml:space="preserve"> the NFL</w:t>
      </w:r>
      <w:r w:rsidR="0013617E">
        <w:rPr>
          <w:color w:val="000000" w:themeColor="text1"/>
          <w:sz w:val="24"/>
          <w:szCs w:val="24"/>
        </w:rPr>
        <w:t>’</w:t>
      </w:r>
      <w:r w:rsidRPr="008132E3">
        <w:rPr>
          <w:color w:val="000000" w:themeColor="text1"/>
          <w:sz w:val="24"/>
          <w:szCs w:val="24"/>
        </w:rPr>
        <w:t>s defense</w:t>
      </w:r>
      <w:r>
        <w:rPr>
          <w:color w:val="000000" w:themeColor="text1"/>
          <w:sz w:val="24"/>
          <w:szCs w:val="24"/>
        </w:rPr>
        <w:t xml:space="preserve">s, including </w:t>
      </w:r>
      <w:r w:rsidRPr="008132E3">
        <w:rPr>
          <w:color w:val="000000" w:themeColor="text1"/>
          <w:sz w:val="24"/>
          <w:szCs w:val="24"/>
        </w:rPr>
        <w:t>CBA provisions on team doctors</w:t>
      </w:r>
      <w:r w:rsidR="0013617E">
        <w:rPr>
          <w:color w:val="000000" w:themeColor="text1"/>
          <w:sz w:val="24"/>
          <w:szCs w:val="24"/>
        </w:rPr>
        <w:t>’</w:t>
      </w:r>
      <w:r w:rsidRPr="008132E3">
        <w:rPr>
          <w:color w:val="000000" w:themeColor="text1"/>
          <w:sz w:val="24"/>
          <w:szCs w:val="24"/>
        </w:rPr>
        <w:t xml:space="preserve"> disclosure obligations, the qualifications of team medical personnel, and players</w:t>
      </w:r>
      <w:r w:rsidR="0013617E">
        <w:rPr>
          <w:color w:val="000000" w:themeColor="text1"/>
          <w:sz w:val="24"/>
          <w:szCs w:val="24"/>
        </w:rPr>
        <w:t>’</w:t>
      </w:r>
      <w:r w:rsidRPr="008132E3">
        <w:rPr>
          <w:color w:val="000000" w:themeColor="text1"/>
          <w:sz w:val="24"/>
          <w:szCs w:val="24"/>
        </w:rPr>
        <w:t xml:space="preserve"> rights to obtain second opinions or examine their medical records</w:t>
      </w:r>
      <w:r>
        <w:rPr>
          <w:color w:val="000000" w:themeColor="text1"/>
          <w:sz w:val="24"/>
          <w:szCs w:val="24"/>
        </w:rPr>
        <w:t>,</w:t>
      </w:r>
      <w:r w:rsidRPr="008132E3">
        <w:rPr>
          <w:color w:val="000000" w:themeColor="text1"/>
          <w:sz w:val="24"/>
          <w:szCs w:val="24"/>
        </w:rPr>
        <w:t xml:space="preserve"> were irrelevant to the question of whether the NFL violated federal laws regarding distribution of controlled substances and state law regarding hiring, retention, misrepresentation, and fraud.</w:t>
      </w:r>
      <w:r>
        <w:rPr>
          <w:rStyle w:val="FootnoteReference"/>
          <w:color w:val="000000" w:themeColor="text1"/>
          <w:sz w:val="24"/>
          <w:szCs w:val="24"/>
        </w:rPr>
        <w:footnoteReference w:id="105"/>
      </w:r>
      <w:r w:rsidRPr="008132E3">
        <w:rPr>
          <w:color w:val="000000" w:themeColor="text1"/>
          <w:sz w:val="24"/>
          <w:szCs w:val="24"/>
        </w:rPr>
        <w:t xml:space="preserve"> Thus, the court determined the claims were not preempted under </w:t>
      </w:r>
      <w:r w:rsidR="00A175D2">
        <w:rPr>
          <w:color w:val="000000" w:themeColor="text1"/>
          <w:sz w:val="24"/>
          <w:szCs w:val="24"/>
        </w:rPr>
        <w:t>Section 301</w:t>
      </w:r>
      <w:r w:rsidRPr="008132E3">
        <w:rPr>
          <w:color w:val="000000" w:themeColor="text1"/>
          <w:sz w:val="24"/>
          <w:szCs w:val="24"/>
        </w:rPr>
        <w:t>.</w:t>
      </w:r>
      <w:r>
        <w:rPr>
          <w:rStyle w:val="FootnoteReference"/>
          <w:color w:val="000000" w:themeColor="text1"/>
          <w:sz w:val="24"/>
          <w:szCs w:val="24"/>
        </w:rPr>
        <w:footnoteReference w:id="106"/>
      </w:r>
    </w:p>
    <w:p w14:paraId="546BF08A" w14:textId="3EA00880" w:rsidR="005B4449" w:rsidRDefault="005B4449" w:rsidP="00E021FB">
      <w:pPr>
        <w:pStyle w:val="NormalWeb"/>
        <w:ind w:firstLine="720"/>
        <w:contextualSpacing/>
        <w:jc w:val="both"/>
        <w:textAlignment w:val="baseline"/>
        <w:rPr>
          <w:color w:val="000000" w:themeColor="text1"/>
          <w:sz w:val="24"/>
          <w:szCs w:val="24"/>
        </w:rPr>
      </w:pPr>
      <w:r>
        <w:rPr>
          <w:color w:val="000000" w:themeColor="text1"/>
          <w:sz w:val="24"/>
          <w:szCs w:val="24"/>
        </w:rPr>
        <w:t xml:space="preserve">The 2018 </w:t>
      </w:r>
      <w:r w:rsidRPr="00341A47">
        <w:rPr>
          <w:i/>
          <w:iCs/>
          <w:color w:val="000000" w:themeColor="text1"/>
          <w:sz w:val="24"/>
          <w:szCs w:val="24"/>
        </w:rPr>
        <w:t>Dent</w:t>
      </w:r>
      <w:r>
        <w:rPr>
          <w:color w:val="000000" w:themeColor="text1"/>
          <w:sz w:val="24"/>
          <w:szCs w:val="24"/>
        </w:rPr>
        <w:t xml:space="preserve"> case concluded that the </w:t>
      </w:r>
      <w:r w:rsidRPr="008132E3">
        <w:rPr>
          <w:color w:val="000000" w:themeColor="text1"/>
          <w:sz w:val="24"/>
          <w:szCs w:val="24"/>
        </w:rPr>
        <w:t xml:space="preserve">meaning of CBA terms governing team doctors’ disclosure obligations, qualifications of team medical staff, and players’ rights to obtain second opinions or review their medical records is not relevant to the question of </w:t>
      </w:r>
      <w:proofErr w:type="gramStart"/>
      <w:r w:rsidRPr="008132E3">
        <w:rPr>
          <w:color w:val="000000" w:themeColor="text1"/>
          <w:sz w:val="24"/>
          <w:szCs w:val="24"/>
        </w:rPr>
        <w:t>whether or not</w:t>
      </w:r>
      <w:proofErr w:type="gramEnd"/>
      <w:r w:rsidRPr="008132E3">
        <w:rPr>
          <w:color w:val="000000" w:themeColor="text1"/>
          <w:sz w:val="24"/>
          <w:szCs w:val="24"/>
        </w:rPr>
        <w:t xml:space="preserve"> </w:t>
      </w:r>
      <w:r>
        <w:rPr>
          <w:color w:val="000000" w:themeColor="text1"/>
          <w:sz w:val="24"/>
          <w:szCs w:val="24"/>
        </w:rPr>
        <w:t>the League</w:t>
      </w:r>
      <w:r w:rsidRPr="008132E3">
        <w:rPr>
          <w:color w:val="000000" w:themeColor="text1"/>
          <w:sz w:val="24"/>
          <w:szCs w:val="24"/>
        </w:rPr>
        <w:t>’s conduct itself violated federal laws regarding</w:t>
      </w:r>
      <w:r>
        <w:rPr>
          <w:color w:val="000000" w:themeColor="text1"/>
          <w:sz w:val="24"/>
          <w:szCs w:val="24"/>
        </w:rPr>
        <w:t xml:space="preserve"> </w:t>
      </w:r>
      <w:r w:rsidRPr="008132E3">
        <w:rPr>
          <w:color w:val="000000" w:themeColor="text1"/>
          <w:sz w:val="24"/>
          <w:szCs w:val="24"/>
        </w:rPr>
        <w:t xml:space="preserve">the distribution of opioids and state law regarding hiring, retention, misrepresentation, and fraud. Thus, no interpretation of the CBA </w:t>
      </w:r>
      <w:r>
        <w:rPr>
          <w:color w:val="000000" w:themeColor="text1"/>
          <w:sz w:val="24"/>
          <w:szCs w:val="24"/>
        </w:rPr>
        <w:t>wa</w:t>
      </w:r>
      <w:r w:rsidRPr="008132E3">
        <w:rPr>
          <w:color w:val="000000" w:themeColor="text1"/>
          <w:sz w:val="24"/>
          <w:szCs w:val="24"/>
        </w:rPr>
        <w:t xml:space="preserve">s necessary, and </w:t>
      </w:r>
      <w:r w:rsidR="00A175D2">
        <w:rPr>
          <w:color w:val="000000" w:themeColor="text1"/>
          <w:sz w:val="24"/>
          <w:szCs w:val="24"/>
        </w:rPr>
        <w:t>Section 301</w:t>
      </w:r>
      <w:r>
        <w:rPr>
          <w:color w:val="000000" w:themeColor="text1"/>
          <w:sz w:val="24"/>
          <w:szCs w:val="24"/>
        </w:rPr>
        <w:t xml:space="preserve"> did not preempt </w:t>
      </w:r>
      <w:r w:rsidRPr="008132E3">
        <w:rPr>
          <w:color w:val="000000" w:themeColor="text1"/>
          <w:sz w:val="24"/>
          <w:szCs w:val="24"/>
        </w:rPr>
        <w:t xml:space="preserve">the </w:t>
      </w:r>
      <w:r>
        <w:rPr>
          <w:color w:val="000000" w:themeColor="text1"/>
          <w:sz w:val="24"/>
          <w:szCs w:val="24"/>
        </w:rPr>
        <w:t>p</w:t>
      </w:r>
      <w:r w:rsidRPr="008132E3">
        <w:rPr>
          <w:color w:val="000000" w:themeColor="text1"/>
          <w:sz w:val="24"/>
          <w:szCs w:val="24"/>
        </w:rPr>
        <w:t xml:space="preserve">laintiffs’ claims. </w:t>
      </w:r>
      <w:r>
        <w:rPr>
          <w:rStyle w:val="FootnoteReference"/>
          <w:color w:val="000000" w:themeColor="text1"/>
          <w:sz w:val="24"/>
          <w:szCs w:val="24"/>
        </w:rPr>
        <w:footnoteReference w:id="107"/>
      </w:r>
    </w:p>
    <w:p w14:paraId="68C5557D" w14:textId="77777777" w:rsidR="00E021FB" w:rsidRPr="00E021FB" w:rsidRDefault="00E021FB" w:rsidP="00E021FB">
      <w:pPr>
        <w:pStyle w:val="NormalWeb"/>
        <w:ind w:firstLine="720"/>
        <w:contextualSpacing/>
        <w:jc w:val="both"/>
        <w:textAlignment w:val="baseline"/>
        <w:rPr>
          <w:color w:val="000000" w:themeColor="text1"/>
          <w:sz w:val="24"/>
          <w:szCs w:val="24"/>
        </w:rPr>
      </w:pPr>
    </w:p>
    <w:p w14:paraId="64BD62B9" w14:textId="6800C167" w:rsidR="005B4449" w:rsidRPr="005C6C3F" w:rsidRDefault="005B4449" w:rsidP="00E4293A">
      <w:pPr>
        <w:pStyle w:val="NormalWeb"/>
        <w:numPr>
          <w:ilvl w:val="1"/>
          <w:numId w:val="18"/>
        </w:numPr>
        <w:ind w:left="0" w:firstLine="0"/>
        <w:contextualSpacing/>
        <w:jc w:val="center"/>
        <w:textAlignment w:val="baseline"/>
        <w:rPr>
          <w:b/>
          <w:bCs/>
          <w:smallCaps/>
          <w:color w:val="000000" w:themeColor="text1"/>
          <w:sz w:val="24"/>
          <w:szCs w:val="24"/>
        </w:rPr>
      </w:pPr>
      <w:r w:rsidRPr="005C6C3F">
        <w:rPr>
          <w:b/>
          <w:bCs/>
          <w:i/>
          <w:iCs/>
          <w:smallCaps/>
          <w:color w:val="000000" w:themeColor="text1"/>
          <w:sz w:val="24"/>
          <w:szCs w:val="24"/>
        </w:rPr>
        <w:t xml:space="preserve">Dent v. </w:t>
      </w:r>
      <w:proofErr w:type="spellStart"/>
      <w:r w:rsidRPr="005C6C3F">
        <w:rPr>
          <w:b/>
          <w:bCs/>
          <w:i/>
          <w:iCs/>
          <w:smallCaps/>
          <w:color w:val="000000" w:themeColor="text1"/>
          <w:sz w:val="24"/>
          <w:szCs w:val="24"/>
        </w:rPr>
        <w:t>N</w:t>
      </w:r>
      <w:r w:rsidR="00310C02">
        <w:rPr>
          <w:b/>
          <w:bCs/>
          <w:i/>
          <w:iCs/>
          <w:smallCaps/>
          <w:color w:val="000000" w:themeColor="text1"/>
          <w:sz w:val="24"/>
          <w:szCs w:val="24"/>
        </w:rPr>
        <w:t>at’l</w:t>
      </w:r>
      <w:proofErr w:type="spellEnd"/>
      <w:r w:rsidR="00310C02">
        <w:rPr>
          <w:b/>
          <w:bCs/>
          <w:i/>
          <w:iCs/>
          <w:smallCaps/>
          <w:color w:val="000000" w:themeColor="text1"/>
          <w:sz w:val="24"/>
          <w:szCs w:val="24"/>
        </w:rPr>
        <w:t xml:space="preserve"> </w:t>
      </w:r>
      <w:r w:rsidRPr="005C6C3F">
        <w:rPr>
          <w:b/>
          <w:bCs/>
          <w:i/>
          <w:iCs/>
          <w:smallCaps/>
          <w:color w:val="000000" w:themeColor="text1"/>
          <w:sz w:val="24"/>
          <w:szCs w:val="24"/>
        </w:rPr>
        <w:t>F</w:t>
      </w:r>
      <w:r w:rsidR="00310C02">
        <w:rPr>
          <w:b/>
          <w:bCs/>
          <w:i/>
          <w:iCs/>
          <w:smallCaps/>
          <w:color w:val="000000" w:themeColor="text1"/>
          <w:sz w:val="24"/>
          <w:szCs w:val="24"/>
        </w:rPr>
        <w:t xml:space="preserve">ootball </w:t>
      </w:r>
      <w:r w:rsidRPr="005C6C3F">
        <w:rPr>
          <w:b/>
          <w:bCs/>
          <w:i/>
          <w:iCs/>
          <w:smallCaps/>
          <w:color w:val="000000" w:themeColor="text1"/>
          <w:sz w:val="24"/>
          <w:szCs w:val="24"/>
        </w:rPr>
        <w:t>L</w:t>
      </w:r>
      <w:r w:rsidR="00310C02">
        <w:rPr>
          <w:b/>
          <w:bCs/>
          <w:i/>
          <w:iCs/>
          <w:smallCaps/>
          <w:color w:val="000000" w:themeColor="text1"/>
          <w:sz w:val="24"/>
          <w:szCs w:val="24"/>
        </w:rPr>
        <w:t>eague</w:t>
      </w:r>
      <w:r w:rsidRPr="005C6C3F">
        <w:rPr>
          <w:b/>
          <w:bCs/>
          <w:smallCaps/>
          <w:color w:val="000000" w:themeColor="text1"/>
          <w:sz w:val="24"/>
          <w:szCs w:val="24"/>
        </w:rPr>
        <w:t>, 2019</w:t>
      </w:r>
    </w:p>
    <w:p w14:paraId="000B0E4C" w14:textId="77777777" w:rsidR="00E021FB" w:rsidRDefault="00E021FB" w:rsidP="00E021FB">
      <w:pPr>
        <w:pStyle w:val="NormalWeb"/>
        <w:ind w:firstLine="720"/>
        <w:contextualSpacing/>
        <w:jc w:val="both"/>
        <w:textAlignment w:val="baseline"/>
        <w:rPr>
          <w:color w:val="000000" w:themeColor="text1"/>
          <w:sz w:val="24"/>
          <w:szCs w:val="24"/>
        </w:rPr>
      </w:pPr>
    </w:p>
    <w:p w14:paraId="508143D3" w14:textId="3CCF8416" w:rsidR="005B4449" w:rsidRPr="008132E3" w:rsidRDefault="005B4449" w:rsidP="00E021FB">
      <w:pPr>
        <w:pStyle w:val="NormalWeb"/>
        <w:ind w:firstLine="720"/>
        <w:contextualSpacing/>
        <w:jc w:val="both"/>
        <w:textAlignment w:val="baseline"/>
        <w:rPr>
          <w:color w:val="000000" w:themeColor="text1"/>
          <w:sz w:val="24"/>
          <w:szCs w:val="24"/>
        </w:rPr>
      </w:pPr>
      <w:r w:rsidRPr="008132E3">
        <w:rPr>
          <w:color w:val="000000" w:themeColor="text1"/>
          <w:sz w:val="24"/>
          <w:szCs w:val="24"/>
        </w:rPr>
        <w:t xml:space="preserve">Finally, the </w:t>
      </w:r>
      <w:r w:rsidRPr="00DD042B">
        <w:rPr>
          <w:i/>
          <w:iCs/>
          <w:color w:val="000000" w:themeColor="text1"/>
          <w:sz w:val="24"/>
          <w:szCs w:val="24"/>
        </w:rPr>
        <w:t>Dent</w:t>
      </w:r>
      <w:r w:rsidRPr="008132E3">
        <w:rPr>
          <w:color w:val="000000" w:themeColor="text1"/>
          <w:sz w:val="24"/>
          <w:szCs w:val="24"/>
        </w:rPr>
        <w:t xml:space="preserve"> line of lawsuits </w:t>
      </w:r>
      <w:proofErr w:type="gramStart"/>
      <w:r w:rsidRPr="008132E3">
        <w:rPr>
          <w:color w:val="000000" w:themeColor="text1"/>
          <w:sz w:val="24"/>
          <w:szCs w:val="24"/>
        </w:rPr>
        <w:t>came to a close</w:t>
      </w:r>
      <w:proofErr w:type="gramEnd"/>
      <w:r w:rsidRPr="008132E3">
        <w:rPr>
          <w:color w:val="000000" w:themeColor="text1"/>
          <w:sz w:val="24"/>
          <w:szCs w:val="24"/>
        </w:rPr>
        <w:t xml:space="preserve"> in April of 2019.</w:t>
      </w:r>
      <w:r>
        <w:rPr>
          <w:rStyle w:val="FootnoteReference"/>
          <w:color w:val="000000" w:themeColor="text1"/>
          <w:sz w:val="24"/>
          <w:szCs w:val="24"/>
        </w:rPr>
        <w:footnoteReference w:id="108"/>
      </w:r>
      <w:r w:rsidRPr="008132E3">
        <w:rPr>
          <w:color w:val="000000" w:themeColor="text1"/>
          <w:sz w:val="24"/>
          <w:szCs w:val="24"/>
        </w:rPr>
        <w:t xml:space="preserve"> Here, the </w:t>
      </w:r>
      <w:r>
        <w:rPr>
          <w:color w:val="000000" w:themeColor="text1"/>
          <w:sz w:val="24"/>
          <w:szCs w:val="24"/>
        </w:rPr>
        <w:t>United States District Court for the Northern District of California</w:t>
      </w:r>
      <w:r w:rsidRPr="008132E3">
        <w:rPr>
          <w:color w:val="000000" w:themeColor="text1"/>
          <w:sz w:val="24"/>
          <w:szCs w:val="24"/>
        </w:rPr>
        <w:t xml:space="preserve"> reviewed the players</w:t>
      </w:r>
      <w:r>
        <w:rPr>
          <w:color w:val="000000" w:themeColor="text1"/>
          <w:sz w:val="24"/>
          <w:szCs w:val="24"/>
        </w:rPr>
        <w:t>’</w:t>
      </w:r>
      <w:r w:rsidRPr="008132E3">
        <w:rPr>
          <w:color w:val="000000" w:themeColor="text1"/>
          <w:sz w:val="24"/>
          <w:szCs w:val="24"/>
        </w:rPr>
        <w:t xml:space="preserve"> third and final amended complaint</w:t>
      </w:r>
      <w:r>
        <w:rPr>
          <w:color w:val="000000" w:themeColor="text1"/>
          <w:sz w:val="24"/>
          <w:szCs w:val="24"/>
        </w:rPr>
        <w:t>,</w:t>
      </w:r>
      <w:r w:rsidRPr="008132E3">
        <w:rPr>
          <w:color w:val="000000" w:themeColor="text1"/>
          <w:sz w:val="24"/>
          <w:szCs w:val="24"/>
        </w:rPr>
        <w:t xml:space="preserve"> which argued </w:t>
      </w:r>
      <w:r>
        <w:rPr>
          <w:color w:val="000000" w:themeColor="text1"/>
          <w:sz w:val="24"/>
          <w:szCs w:val="24"/>
        </w:rPr>
        <w:t>that</w:t>
      </w:r>
      <w:r w:rsidRPr="008132E3">
        <w:rPr>
          <w:color w:val="000000" w:themeColor="text1"/>
          <w:sz w:val="24"/>
          <w:szCs w:val="24"/>
        </w:rPr>
        <w:t xml:space="preserve"> </w:t>
      </w:r>
      <w:r>
        <w:rPr>
          <w:color w:val="000000" w:themeColor="text1"/>
          <w:sz w:val="24"/>
          <w:szCs w:val="24"/>
        </w:rPr>
        <w:t>t</w:t>
      </w:r>
      <w:r w:rsidRPr="008132E3">
        <w:rPr>
          <w:color w:val="000000" w:themeColor="text1"/>
          <w:sz w:val="24"/>
          <w:szCs w:val="24"/>
        </w:rPr>
        <w:t xml:space="preserve">he NFL was required to, or voluntarily undertook the duty to, comply with federal and state laws regulating the manner in which these </w:t>
      </w:r>
      <w:r>
        <w:rPr>
          <w:color w:val="000000" w:themeColor="text1"/>
          <w:sz w:val="24"/>
          <w:szCs w:val="24"/>
        </w:rPr>
        <w:t xml:space="preserve">opioids </w:t>
      </w:r>
      <w:r w:rsidRPr="008132E3">
        <w:rPr>
          <w:color w:val="000000" w:themeColor="text1"/>
          <w:sz w:val="24"/>
          <w:szCs w:val="24"/>
        </w:rPr>
        <w:t>were administered and distributed</w:t>
      </w:r>
      <w:r>
        <w:rPr>
          <w:color w:val="000000" w:themeColor="text1"/>
          <w:sz w:val="24"/>
          <w:szCs w:val="24"/>
        </w:rPr>
        <w:t xml:space="preserve"> among players</w:t>
      </w:r>
      <w:r w:rsidRPr="008132E3">
        <w:rPr>
          <w:color w:val="000000" w:themeColor="text1"/>
          <w:sz w:val="24"/>
          <w:szCs w:val="24"/>
        </w:rPr>
        <w:t xml:space="preserve">. </w:t>
      </w:r>
      <w:r>
        <w:rPr>
          <w:color w:val="000000" w:themeColor="text1"/>
          <w:sz w:val="24"/>
          <w:szCs w:val="24"/>
        </w:rPr>
        <w:t xml:space="preserve">Further, the complaint alleged that the NFL </w:t>
      </w:r>
      <w:r w:rsidRPr="008132E3">
        <w:rPr>
          <w:color w:val="000000" w:themeColor="text1"/>
          <w:sz w:val="24"/>
          <w:szCs w:val="24"/>
        </w:rPr>
        <w:t xml:space="preserve">failed to </w:t>
      </w:r>
      <w:r>
        <w:rPr>
          <w:color w:val="000000" w:themeColor="text1"/>
          <w:sz w:val="24"/>
          <w:szCs w:val="24"/>
        </w:rPr>
        <w:t>comply with federal and state laws</w:t>
      </w:r>
      <w:r w:rsidRPr="008132E3">
        <w:rPr>
          <w:color w:val="000000" w:themeColor="text1"/>
          <w:sz w:val="24"/>
          <w:szCs w:val="24"/>
        </w:rPr>
        <w:t>, consistently and repeatedly, from the 1970s through at least 2014</w:t>
      </w:r>
      <w:r>
        <w:rPr>
          <w:color w:val="000000" w:themeColor="text1"/>
          <w:sz w:val="24"/>
          <w:szCs w:val="24"/>
        </w:rPr>
        <w:t>,</w:t>
      </w:r>
      <w:r w:rsidRPr="008132E3">
        <w:rPr>
          <w:color w:val="000000" w:themeColor="text1"/>
          <w:sz w:val="24"/>
          <w:szCs w:val="24"/>
        </w:rPr>
        <w:t xml:space="preserve"> and that failure directly and proximately caused the injuries for which </w:t>
      </w:r>
      <w:r>
        <w:rPr>
          <w:color w:val="000000" w:themeColor="text1"/>
          <w:sz w:val="24"/>
          <w:szCs w:val="24"/>
        </w:rPr>
        <w:t>p</w:t>
      </w:r>
      <w:r w:rsidRPr="008132E3">
        <w:rPr>
          <w:color w:val="000000" w:themeColor="text1"/>
          <w:sz w:val="24"/>
          <w:szCs w:val="24"/>
        </w:rPr>
        <w:t>laintiffs seek damages.</w:t>
      </w:r>
      <w:r>
        <w:rPr>
          <w:rStyle w:val="FootnoteReference"/>
          <w:color w:val="000000" w:themeColor="text1"/>
          <w:sz w:val="24"/>
          <w:szCs w:val="24"/>
        </w:rPr>
        <w:footnoteReference w:id="109"/>
      </w:r>
      <w:r w:rsidRPr="008132E3">
        <w:rPr>
          <w:color w:val="000000" w:themeColor="text1"/>
          <w:sz w:val="24"/>
          <w:szCs w:val="24"/>
        </w:rPr>
        <w:t xml:space="preserve"> In response to the final complaint, the NFL moved to dismiss arguing that the plaintiffs failed to state a claim and that the </w:t>
      </w:r>
      <w:r>
        <w:rPr>
          <w:color w:val="000000" w:themeColor="text1"/>
          <w:sz w:val="24"/>
          <w:szCs w:val="24"/>
        </w:rPr>
        <w:t xml:space="preserve">statute of limitations barred the </w:t>
      </w:r>
      <w:r w:rsidRPr="008132E3">
        <w:rPr>
          <w:color w:val="000000" w:themeColor="text1"/>
          <w:sz w:val="24"/>
          <w:szCs w:val="24"/>
        </w:rPr>
        <w:t>claim.</w:t>
      </w:r>
      <w:r>
        <w:rPr>
          <w:rStyle w:val="FootnoteReference"/>
          <w:color w:val="000000" w:themeColor="text1"/>
          <w:sz w:val="24"/>
          <w:szCs w:val="24"/>
        </w:rPr>
        <w:footnoteReference w:id="110"/>
      </w:r>
    </w:p>
    <w:p w14:paraId="0A13CFB8" w14:textId="1498323B" w:rsidR="005B4449" w:rsidRPr="008132E3" w:rsidRDefault="005B4449" w:rsidP="00E021FB">
      <w:pPr>
        <w:pStyle w:val="NormalWeb"/>
        <w:ind w:firstLine="720"/>
        <w:contextualSpacing/>
        <w:jc w:val="both"/>
        <w:textAlignment w:val="baseline"/>
        <w:rPr>
          <w:color w:val="000000" w:themeColor="text1"/>
          <w:sz w:val="24"/>
          <w:szCs w:val="24"/>
        </w:rPr>
      </w:pPr>
      <w:r>
        <w:rPr>
          <w:color w:val="000000" w:themeColor="text1"/>
          <w:sz w:val="24"/>
          <w:szCs w:val="24"/>
        </w:rPr>
        <w:t>By leaning the analysis of the appellate court’s findings, the district court determined it was clear</w:t>
      </w:r>
      <w:r w:rsidRPr="008132E3">
        <w:rPr>
          <w:color w:val="000000" w:themeColor="text1"/>
          <w:sz w:val="24"/>
          <w:szCs w:val="24"/>
        </w:rPr>
        <w:t xml:space="preserve"> </w:t>
      </w:r>
      <w:r>
        <w:rPr>
          <w:color w:val="000000" w:themeColor="text1"/>
          <w:sz w:val="24"/>
          <w:szCs w:val="24"/>
        </w:rPr>
        <w:t xml:space="preserve">that </w:t>
      </w:r>
      <w:r w:rsidRPr="008132E3">
        <w:rPr>
          <w:color w:val="000000" w:themeColor="text1"/>
          <w:sz w:val="24"/>
          <w:szCs w:val="24"/>
        </w:rPr>
        <w:t xml:space="preserve">the interpretation of the CBA was not required solely because </w:t>
      </w:r>
      <w:r>
        <w:rPr>
          <w:color w:val="000000" w:themeColor="text1"/>
          <w:sz w:val="24"/>
          <w:szCs w:val="24"/>
        </w:rPr>
        <w:t xml:space="preserve">of </w:t>
      </w:r>
      <w:r w:rsidRPr="008132E3">
        <w:rPr>
          <w:color w:val="000000" w:themeColor="text1"/>
          <w:sz w:val="24"/>
          <w:szCs w:val="24"/>
        </w:rPr>
        <w:t>the plaintiffs’ position that the NFL itself was engaged in the handling, distribution and administration of the painkillers to players.</w:t>
      </w:r>
      <w:r>
        <w:rPr>
          <w:rStyle w:val="FootnoteReference"/>
          <w:color w:val="000000" w:themeColor="text1"/>
          <w:sz w:val="24"/>
          <w:szCs w:val="24"/>
        </w:rPr>
        <w:footnoteReference w:id="111"/>
      </w:r>
      <w:r w:rsidRPr="008132E3">
        <w:rPr>
          <w:color w:val="000000" w:themeColor="text1"/>
          <w:sz w:val="24"/>
          <w:szCs w:val="24"/>
        </w:rPr>
        <w:t xml:space="preserve"> However, the court stressed that in the players’ third amendment of their complaint, they now explicitly based their claim of the NFL’s direct involvement of the administration of the medication on the “maintenance” and “creation” of the “return</w:t>
      </w:r>
      <w:r>
        <w:rPr>
          <w:color w:val="000000" w:themeColor="text1"/>
          <w:sz w:val="24"/>
          <w:szCs w:val="24"/>
        </w:rPr>
        <w:t>-</w:t>
      </w:r>
      <w:r w:rsidRPr="008132E3">
        <w:rPr>
          <w:color w:val="000000" w:themeColor="text1"/>
          <w:sz w:val="24"/>
          <w:szCs w:val="24"/>
        </w:rPr>
        <w:t>t</w:t>
      </w:r>
      <w:r>
        <w:rPr>
          <w:color w:val="000000" w:themeColor="text1"/>
          <w:sz w:val="24"/>
          <w:szCs w:val="24"/>
        </w:rPr>
        <w:t>o-</w:t>
      </w:r>
      <w:r w:rsidRPr="008132E3">
        <w:rPr>
          <w:color w:val="000000" w:themeColor="text1"/>
          <w:sz w:val="24"/>
          <w:szCs w:val="24"/>
        </w:rPr>
        <w:t>play” scheme, as opposed to the direct distribution of the painkillers to the players itself.</w:t>
      </w:r>
      <w:r>
        <w:rPr>
          <w:rStyle w:val="FootnoteReference"/>
          <w:color w:val="000000" w:themeColor="text1"/>
          <w:sz w:val="24"/>
          <w:szCs w:val="24"/>
        </w:rPr>
        <w:footnoteReference w:id="112"/>
      </w:r>
      <w:r w:rsidRPr="008132E3">
        <w:rPr>
          <w:color w:val="000000" w:themeColor="text1"/>
          <w:sz w:val="24"/>
          <w:szCs w:val="24"/>
        </w:rPr>
        <w:t xml:space="preserve"> Thus, the court stated that under this pleading, the plaintiffs are no longer alleging that the NFL violated the relevant California statutes, but that the individual club doctors and trainers are violating the relevant statutes.</w:t>
      </w:r>
      <w:r>
        <w:rPr>
          <w:rStyle w:val="FootnoteReference"/>
          <w:color w:val="000000" w:themeColor="text1"/>
          <w:sz w:val="24"/>
          <w:szCs w:val="24"/>
        </w:rPr>
        <w:footnoteReference w:id="113"/>
      </w:r>
    </w:p>
    <w:p w14:paraId="3514860F" w14:textId="62A95AB5" w:rsidR="005B4449" w:rsidRPr="008132E3" w:rsidRDefault="005B4449" w:rsidP="00E021FB">
      <w:pPr>
        <w:pStyle w:val="NormalWeb"/>
        <w:ind w:firstLine="720"/>
        <w:contextualSpacing/>
        <w:jc w:val="both"/>
        <w:textAlignment w:val="baseline"/>
        <w:rPr>
          <w:color w:val="000000" w:themeColor="text1"/>
          <w:sz w:val="24"/>
          <w:szCs w:val="24"/>
        </w:rPr>
      </w:pPr>
      <w:r w:rsidRPr="008132E3">
        <w:rPr>
          <w:color w:val="000000" w:themeColor="text1"/>
          <w:sz w:val="24"/>
          <w:szCs w:val="24"/>
        </w:rPr>
        <w:t>Further, the court found problems with the players’ pleading because it did not point to any specific allegations that the California statutes in question applied directly to the NFL or that the NFL itself even violated those statutes.</w:t>
      </w:r>
      <w:r>
        <w:rPr>
          <w:rStyle w:val="FootnoteReference"/>
          <w:color w:val="000000" w:themeColor="text1"/>
          <w:sz w:val="24"/>
          <w:szCs w:val="24"/>
        </w:rPr>
        <w:footnoteReference w:id="114"/>
      </w:r>
      <w:r w:rsidRPr="008132E3">
        <w:rPr>
          <w:color w:val="000000" w:themeColor="text1"/>
          <w:sz w:val="24"/>
          <w:szCs w:val="24"/>
        </w:rPr>
        <w:t xml:space="preserve"> The court stated, “despite ninety pages of allegations, nowhere in the third amended complaint do plaintiffs allege, as they previously pitched before our court of appeals, that the NFL undertook to provide direct medical care and treatment to players such that its conduct violated any relevant drug laws.”</w:t>
      </w:r>
      <w:r>
        <w:rPr>
          <w:rStyle w:val="FootnoteReference"/>
          <w:color w:val="000000" w:themeColor="text1"/>
          <w:sz w:val="24"/>
          <w:szCs w:val="24"/>
        </w:rPr>
        <w:footnoteReference w:id="115"/>
      </w:r>
      <w:r w:rsidRPr="008132E3">
        <w:rPr>
          <w:color w:val="000000" w:themeColor="text1"/>
          <w:sz w:val="24"/>
          <w:szCs w:val="24"/>
        </w:rPr>
        <w:t xml:space="preserve"> The </w:t>
      </w:r>
      <w:r>
        <w:rPr>
          <w:color w:val="000000" w:themeColor="text1"/>
          <w:sz w:val="24"/>
          <w:szCs w:val="24"/>
        </w:rPr>
        <w:t>c</w:t>
      </w:r>
      <w:r w:rsidRPr="008132E3">
        <w:rPr>
          <w:color w:val="000000" w:themeColor="text1"/>
          <w:sz w:val="24"/>
          <w:szCs w:val="24"/>
        </w:rPr>
        <w:t xml:space="preserve">ourt of </w:t>
      </w:r>
      <w:r>
        <w:rPr>
          <w:color w:val="000000" w:themeColor="text1"/>
          <w:sz w:val="24"/>
          <w:szCs w:val="24"/>
        </w:rPr>
        <w:t>a</w:t>
      </w:r>
      <w:r w:rsidRPr="008132E3">
        <w:rPr>
          <w:color w:val="000000" w:themeColor="text1"/>
          <w:sz w:val="24"/>
          <w:szCs w:val="24"/>
        </w:rPr>
        <w:t xml:space="preserve">ppeals explained that the </w:t>
      </w:r>
      <w:r>
        <w:rPr>
          <w:color w:val="000000" w:themeColor="text1"/>
          <w:sz w:val="24"/>
          <w:szCs w:val="24"/>
        </w:rPr>
        <w:t>p</w:t>
      </w:r>
      <w:r w:rsidRPr="008132E3">
        <w:rPr>
          <w:color w:val="000000" w:themeColor="text1"/>
          <w:sz w:val="24"/>
          <w:szCs w:val="24"/>
        </w:rPr>
        <w:t xml:space="preserve">layers’ negligence </w:t>
      </w:r>
      <w:r w:rsidRPr="008132E3">
        <w:rPr>
          <w:color w:val="000000" w:themeColor="text1"/>
          <w:sz w:val="24"/>
          <w:szCs w:val="24"/>
        </w:rPr>
        <w:lastRenderedPageBreak/>
        <w:t xml:space="preserve">claim would need to show that the relevant statutes applied to the NFL, the NFL violated those statutes, and the violations resulted in the injuries to the </w:t>
      </w:r>
      <w:r>
        <w:rPr>
          <w:color w:val="000000" w:themeColor="text1"/>
          <w:sz w:val="24"/>
          <w:szCs w:val="24"/>
        </w:rPr>
        <w:t>p</w:t>
      </w:r>
      <w:r w:rsidRPr="008132E3">
        <w:rPr>
          <w:color w:val="000000" w:themeColor="text1"/>
          <w:sz w:val="24"/>
          <w:szCs w:val="24"/>
        </w:rPr>
        <w:t>layers</w:t>
      </w:r>
      <w:r>
        <w:rPr>
          <w:color w:val="000000" w:themeColor="text1"/>
          <w:sz w:val="24"/>
          <w:szCs w:val="24"/>
        </w:rPr>
        <w:t>.</w:t>
      </w:r>
      <w:r>
        <w:rPr>
          <w:rStyle w:val="FootnoteReference"/>
          <w:color w:val="000000" w:themeColor="text1"/>
          <w:sz w:val="24"/>
          <w:szCs w:val="24"/>
        </w:rPr>
        <w:footnoteReference w:id="116"/>
      </w:r>
      <w:r>
        <w:rPr>
          <w:color w:val="000000" w:themeColor="text1"/>
          <w:sz w:val="24"/>
          <w:szCs w:val="24"/>
        </w:rPr>
        <w:t xml:space="preserve"> The</w:t>
      </w:r>
      <w:r w:rsidRPr="008132E3">
        <w:rPr>
          <w:color w:val="000000" w:themeColor="text1"/>
          <w:sz w:val="24"/>
          <w:szCs w:val="24"/>
        </w:rPr>
        <w:t xml:space="preserve"> </w:t>
      </w:r>
      <w:r>
        <w:rPr>
          <w:color w:val="000000" w:themeColor="text1"/>
          <w:sz w:val="24"/>
          <w:szCs w:val="24"/>
        </w:rPr>
        <w:t>c</w:t>
      </w:r>
      <w:r w:rsidRPr="008132E3">
        <w:rPr>
          <w:color w:val="000000" w:themeColor="text1"/>
          <w:sz w:val="24"/>
          <w:szCs w:val="24"/>
        </w:rPr>
        <w:t xml:space="preserve">ourt stated that </w:t>
      </w:r>
      <w:r>
        <w:rPr>
          <w:color w:val="000000" w:themeColor="text1"/>
          <w:sz w:val="24"/>
          <w:szCs w:val="24"/>
        </w:rPr>
        <w:t>because the players did not</w:t>
      </w:r>
      <w:r w:rsidRPr="008132E3">
        <w:rPr>
          <w:color w:val="000000" w:themeColor="text1"/>
          <w:sz w:val="24"/>
          <w:szCs w:val="24"/>
        </w:rPr>
        <w:t xml:space="preserve"> acknowled</w:t>
      </w:r>
      <w:r>
        <w:rPr>
          <w:color w:val="000000" w:themeColor="text1"/>
          <w:sz w:val="24"/>
          <w:szCs w:val="24"/>
        </w:rPr>
        <w:t>ge</w:t>
      </w:r>
      <w:r w:rsidRPr="008132E3">
        <w:rPr>
          <w:color w:val="000000" w:themeColor="text1"/>
          <w:sz w:val="24"/>
          <w:szCs w:val="24"/>
        </w:rPr>
        <w:t xml:space="preserve"> in </w:t>
      </w:r>
      <w:r>
        <w:rPr>
          <w:color w:val="000000" w:themeColor="text1"/>
          <w:sz w:val="24"/>
          <w:szCs w:val="24"/>
        </w:rPr>
        <w:t>their</w:t>
      </w:r>
      <w:r w:rsidRPr="008132E3">
        <w:rPr>
          <w:color w:val="000000" w:themeColor="text1"/>
          <w:sz w:val="24"/>
          <w:szCs w:val="24"/>
        </w:rPr>
        <w:t xml:space="preserve"> final amended complaint that the NFL did not itself provide medical care or distribute painkillers to the players, the </w:t>
      </w:r>
      <w:r>
        <w:rPr>
          <w:color w:val="000000" w:themeColor="text1"/>
          <w:sz w:val="24"/>
          <w:szCs w:val="24"/>
        </w:rPr>
        <w:t>p</w:t>
      </w:r>
      <w:r w:rsidRPr="008132E3">
        <w:rPr>
          <w:color w:val="000000" w:themeColor="text1"/>
          <w:sz w:val="24"/>
          <w:szCs w:val="24"/>
        </w:rPr>
        <w:t>layers failed to plead sufficient facts that would support their claim against the NFL.</w:t>
      </w:r>
      <w:r>
        <w:rPr>
          <w:rStyle w:val="FootnoteReference"/>
          <w:color w:val="000000" w:themeColor="text1"/>
          <w:sz w:val="24"/>
          <w:szCs w:val="24"/>
        </w:rPr>
        <w:footnoteReference w:id="117"/>
      </w:r>
      <w:r w:rsidRPr="008132E3">
        <w:rPr>
          <w:color w:val="000000" w:themeColor="text1"/>
          <w:sz w:val="24"/>
          <w:szCs w:val="24"/>
        </w:rPr>
        <w:t xml:space="preserve"> </w:t>
      </w:r>
    </w:p>
    <w:p w14:paraId="6F67BA79" w14:textId="7FE59200" w:rsidR="005B4449" w:rsidRPr="008132E3" w:rsidRDefault="005B4449" w:rsidP="00E021FB">
      <w:pPr>
        <w:pStyle w:val="NormalWeb"/>
        <w:ind w:firstLine="720"/>
        <w:contextualSpacing/>
        <w:jc w:val="both"/>
        <w:textAlignment w:val="baseline"/>
        <w:rPr>
          <w:color w:val="000000" w:themeColor="text1"/>
          <w:sz w:val="24"/>
          <w:szCs w:val="24"/>
        </w:rPr>
      </w:pPr>
      <w:r w:rsidRPr="008132E3">
        <w:rPr>
          <w:color w:val="000000" w:themeColor="text1"/>
          <w:sz w:val="24"/>
          <w:szCs w:val="24"/>
        </w:rPr>
        <w:t xml:space="preserve">The court clarified that the only reason the </w:t>
      </w:r>
      <w:r>
        <w:rPr>
          <w:color w:val="000000" w:themeColor="text1"/>
          <w:sz w:val="24"/>
          <w:szCs w:val="24"/>
        </w:rPr>
        <w:t>p</w:t>
      </w:r>
      <w:r w:rsidRPr="008132E3">
        <w:rPr>
          <w:color w:val="000000" w:themeColor="text1"/>
          <w:sz w:val="24"/>
          <w:szCs w:val="24"/>
        </w:rPr>
        <w:t xml:space="preserve">layers were able to escape </w:t>
      </w:r>
      <w:r w:rsidR="00A175D2">
        <w:rPr>
          <w:color w:val="000000" w:themeColor="text1"/>
          <w:sz w:val="24"/>
          <w:szCs w:val="24"/>
        </w:rPr>
        <w:t>Section 301</w:t>
      </w:r>
      <w:r w:rsidRPr="008132E3">
        <w:rPr>
          <w:color w:val="000000" w:themeColor="text1"/>
          <w:sz w:val="24"/>
          <w:szCs w:val="24"/>
        </w:rPr>
        <w:t xml:space="preserve"> preemption before the court of appeals was only by asserting that the NFL itself was directly involved with the distribution of painkillers.</w:t>
      </w:r>
      <w:r>
        <w:rPr>
          <w:rStyle w:val="FootnoteReference"/>
          <w:color w:val="000000" w:themeColor="text1"/>
          <w:sz w:val="24"/>
          <w:szCs w:val="24"/>
        </w:rPr>
        <w:footnoteReference w:id="118"/>
      </w:r>
      <w:r w:rsidRPr="008132E3">
        <w:rPr>
          <w:color w:val="000000" w:themeColor="text1"/>
          <w:sz w:val="24"/>
          <w:szCs w:val="24"/>
        </w:rPr>
        <w:t xml:space="preserve"> Thus, once they escaped preemption, the </w:t>
      </w:r>
      <w:r>
        <w:rPr>
          <w:color w:val="000000" w:themeColor="text1"/>
          <w:sz w:val="24"/>
          <w:szCs w:val="24"/>
        </w:rPr>
        <w:t>p</w:t>
      </w:r>
      <w:r w:rsidRPr="008132E3">
        <w:rPr>
          <w:color w:val="000000" w:themeColor="text1"/>
          <w:sz w:val="24"/>
          <w:szCs w:val="24"/>
        </w:rPr>
        <w:t>layers</w:t>
      </w:r>
      <w:r>
        <w:rPr>
          <w:color w:val="000000" w:themeColor="text1"/>
          <w:sz w:val="24"/>
          <w:szCs w:val="24"/>
        </w:rPr>
        <w:t xml:space="preserve"> </w:t>
      </w:r>
      <w:r w:rsidRPr="008132E3">
        <w:rPr>
          <w:color w:val="000000" w:themeColor="text1"/>
          <w:sz w:val="24"/>
          <w:szCs w:val="24"/>
        </w:rPr>
        <w:t>could not “bob and weave” back to other theories of negligence that relied on the NFL’s failure to intervene with the individual team’s distribution of the medication.</w:t>
      </w:r>
      <w:r>
        <w:rPr>
          <w:rStyle w:val="FootnoteReference"/>
          <w:color w:val="000000" w:themeColor="text1"/>
          <w:sz w:val="24"/>
          <w:szCs w:val="24"/>
        </w:rPr>
        <w:footnoteReference w:id="119"/>
      </w:r>
    </w:p>
    <w:p w14:paraId="20C9DFD7" w14:textId="5F6DC199" w:rsidR="005B4449" w:rsidRDefault="005B4449" w:rsidP="00E021FB">
      <w:pPr>
        <w:pStyle w:val="NormalWeb"/>
        <w:ind w:firstLine="720"/>
        <w:contextualSpacing/>
        <w:jc w:val="both"/>
        <w:textAlignment w:val="baseline"/>
        <w:rPr>
          <w:color w:val="000000" w:themeColor="text1"/>
          <w:sz w:val="24"/>
          <w:szCs w:val="24"/>
        </w:rPr>
      </w:pPr>
      <w:r w:rsidRPr="008132E3">
        <w:rPr>
          <w:color w:val="000000" w:themeColor="text1"/>
          <w:sz w:val="24"/>
          <w:szCs w:val="24"/>
        </w:rPr>
        <w:t xml:space="preserve">The court concluded that while they were sympathetic to the former </w:t>
      </w:r>
      <w:r>
        <w:rPr>
          <w:color w:val="000000" w:themeColor="text1"/>
          <w:sz w:val="24"/>
          <w:szCs w:val="24"/>
        </w:rPr>
        <w:t>p</w:t>
      </w:r>
      <w:r w:rsidRPr="008132E3">
        <w:rPr>
          <w:color w:val="000000" w:themeColor="text1"/>
          <w:sz w:val="24"/>
          <w:szCs w:val="24"/>
        </w:rPr>
        <w:t xml:space="preserve">layers’ position and recognized the societal issue that is prominent regarding the opioid epidemic, the </w:t>
      </w:r>
      <w:r>
        <w:rPr>
          <w:color w:val="000000" w:themeColor="text1"/>
          <w:sz w:val="24"/>
          <w:szCs w:val="24"/>
        </w:rPr>
        <w:t>p</w:t>
      </w:r>
      <w:r w:rsidRPr="008132E3">
        <w:rPr>
          <w:color w:val="000000" w:themeColor="text1"/>
          <w:sz w:val="24"/>
          <w:szCs w:val="24"/>
        </w:rPr>
        <w:t>layers here failed to adequately plead a claim for negligence and granted the NFL’s motion to dismiss.</w:t>
      </w:r>
      <w:r>
        <w:rPr>
          <w:rStyle w:val="FootnoteReference"/>
          <w:color w:val="000000" w:themeColor="text1"/>
          <w:sz w:val="24"/>
          <w:szCs w:val="24"/>
        </w:rPr>
        <w:footnoteReference w:id="120"/>
      </w:r>
      <w:r w:rsidRPr="008132E3">
        <w:rPr>
          <w:color w:val="000000" w:themeColor="text1"/>
          <w:sz w:val="24"/>
          <w:szCs w:val="24"/>
        </w:rPr>
        <w:t xml:space="preserve"> </w:t>
      </w:r>
      <w:r>
        <w:rPr>
          <w:color w:val="000000" w:themeColor="text1"/>
          <w:sz w:val="24"/>
          <w:szCs w:val="24"/>
        </w:rPr>
        <w:t>Since</w:t>
      </w:r>
      <w:r w:rsidRPr="008132E3">
        <w:rPr>
          <w:color w:val="000000" w:themeColor="text1"/>
          <w:sz w:val="24"/>
          <w:szCs w:val="24"/>
        </w:rPr>
        <w:t xml:space="preserve"> this was the </w:t>
      </w:r>
      <w:r>
        <w:rPr>
          <w:color w:val="000000" w:themeColor="text1"/>
          <w:sz w:val="24"/>
          <w:szCs w:val="24"/>
        </w:rPr>
        <w:t>p</w:t>
      </w:r>
      <w:r w:rsidRPr="008132E3">
        <w:rPr>
          <w:color w:val="000000" w:themeColor="text1"/>
          <w:sz w:val="24"/>
          <w:szCs w:val="24"/>
        </w:rPr>
        <w:t>layers</w:t>
      </w:r>
      <w:r>
        <w:rPr>
          <w:color w:val="000000" w:themeColor="text1"/>
          <w:sz w:val="24"/>
          <w:szCs w:val="24"/>
        </w:rPr>
        <w:t>’</w:t>
      </w:r>
      <w:r w:rsidRPr="008132E3">
        <w:rPr>
          <w:color w:val="000000" w:themeColor="text1"/>
          <w:sz w:val="24"/>
          <w:szCs w:val="24"/>
        </w:rPr>
        <w:t xml:space="preserve"> “best and final” pleading, the suit was dismissed with no further chances to be amended.</w:t>
      </w:r>
      <w:r>
        <w:rPr>
          <w:rStyle w:val="FootnoteReference"/>
          <w:color w:val="000000" w:themeColor="text1"/>
          <w:sz w:val="24"/>
          <w:szCs w:val="24"/>
        </w:rPr>
        <w:footnoteReference w:id="121"/>
      </w:r>
      <w:r w:rsidRPr="008132E3">
        <w:rPr>
          <w:color w:val="000000" w:themeColor="text1"/>
          <w:sz w:val="24"/>
          <w:szCs w:val="24"/>
        </w:rPr>
        <w:t xml:space="preserve"> </w:t>
      </w:r>
    </w:p>
    <w:p w14:paraId="5F3CA647" w14:textId="77777777" w:rsidR="00E021FB" w:rsidRPr="008132E3" w:rsidRDefault="00E021FB" w:rsidP="00E021FB">
      <w:pPr>
        <w:pStyle w:val="NormalWeb"/>
        <w:ind w:firstLine="720"/>
        <w:contextualSpacing/>
        <w:jc w:val="both"/>
        <w:textAlignment w:val="baseline"/>
        <w:rPr>
          <w:color w:val="000000" w:themeColor="text1"/>
          <w:sz w:val="24"/>
          <w:szCs w:val="24"/>
        </w:rPr>
      </w:pPr>
    </w:p>
    <w:p w14:paraId="20A206E7" w14:textId="5B89F8A2" w:rsidR="005B4449" w:rsidRPr="00E4293A" w:rsidRDefault="005B4449" w:rsidP="00E021FB">
      <w:pPr>
        <w:pStyle w:val="NormalWeb"/>
        <w:keepNext/>
        <w:keepLines/>
        <w:numPr>
          <w:ilvl w:val="0"/>
          <w:numId w:val="6"/>
        </w:numPr>
        <w:ind w:left="0" w:firstLine="0"/>
        <w:contextualSpacing/>
        <w:jc w:val="center"/>
        <w:textAlignment w:val="baseline"/>
        <w:rPr>
          <w:b/>
          <w:bCs/>
          <w:sz w:val="24"/>
          <w:szCs w:val="24"/>
        </w:rPr>
      </w:pPr>
      <w:r>
        <w:rPr>
          <w:b/>
          <w:bCs/>
          <w:smallCaps/>
          <w:sz w:val="24"/>
          <w:szCs w:val="24"/>
        </w:rPr>
        <w:lastRenderedPageBreak/>
        <w:t>Legal Relief is Not a Viable Form of Relief with Given Facts and Precedent</w:t>
      </w:r>
    </w:p>
    <w:p w14:paraId="57145743" w14:textId="77777777" w:rsidR="00E4293A" w:rsidRPr="005810C0" w:rsidRDefault="00E4293A" w:rsidP="00E4293A">
      <w:pPr>
        <w:pStyle w:val="NormalWeb"/>
        <w:keepNext/>
        <w:keepLines/>
        <w:contextualSpacing/>
        <w:textAlignment w:val="baseline"/>
        <w:rPr>
          <w:b/>
          <w:bCs/>
          <w:sz w:val="24"/>
          <w:szCs w:val="24"/>
        </w:rPr>
      </w:pPr>
    </w:p>
    <w:p w14:paraId="1CED3D52" w14:textId="30649AD5" w:rsidR="005B4449" w:rsidRPr="008132E3" w:rsidRDefault="005B4449" w:rsidP="00E021FB">
      <w:pPr>
        <w:pStyle w:val="NormalWeb"/>
        <w:keepNext/>
        <w:keepLines/>
        <w:ind w:firstLine="720"/>
        <w:contextualSpacing/>
        <w:jc w:val="both"/>
        <w:textAlignment w:val="baseline"/>
        <w:rPr>
          <w:sz w:val="24"/>
          <w:szCs w:val="24"/>
        </w:rPr>
      </w:pPr>
      <w:r w:rsidRPr="008132E3">
        <w:rPr>
          <w:sz w:val="24"/>
          <w:szCs w:val="24"/>
        </w:rPr>
        <w:t xml:space="preserve">Seeking relief from the </w:t>
      </w:r>
      <w:r>
        <w:rPr>
          <w:sz w:val="24"/>
          <w:szCs w:val="24"/>
        </w:rPr>
        <w:t>courts</w:t>
      </w:r>
      <w:r w:rsidRPr="008132E3">
        <w:rPr>
          <w:sz w:val="24"/>
          <w:szCs w:val="24"/>
        </w:rPr>
        <w:t xml:space="preserve"> is not a viable course of action for former and current NFL players suffering from painkiller addictions because of the precedent and reasoning </w:t>
      </w:r>
      <w:r>
        <w:rPr>
          <w:sz w:val="24"/>
          <w:szCs w:val="24"/>
        </w:rPr>
        <w:t>established</w:t>
      </w:r>
      <w:r w:rsidRPr="008132E3">
        <w:rPr>
          <w:sz w:val="24"/>
          <w:szCs w:val="24"/>
        </w:rPr>
        <w:t xml:space="preserve"> in the </w:t>
      </w:r>
      <w:r w:rsidRPr="005F531B">
        <w:rPr>
          <w:i/>
          <w:iCs/>
          <w:sz w:val="24"/>
          <w:szCs w:val="24"/>
        </w:rPr>
        <w:t>Dent</w:t>
      </w:r>
      <w:r w:rsidRPr="008132E3">
        <w:rPr>
          <w:sz w:val="24"/>
          <w:szCs w:val="24"/>
        </w:rPr>
        <w:t xml:space="preserve"> and </w:t>
      </w:r>
      <w:r w:rsidRPr="005F531B">
        <w:rPr>
          <w:i/>
          <w:iCs/>
          <w:sz w:val="24"/>
          <w:szCs w:val="24"/>
        </w:rPr>
        <w:t>Evans</w:t>
      </w:r>
      <w:r w:rsidRPr="008132E3">
        <w:rPr>
          <w:sz w:val="24"/>
          <w:szCs w:val="24"/>
        </w:rPr>
        <w:t xml:space="preserve"> line of cases.</w:t>
      </w:r>
      <w:r>
        <w:rPr>
          <w:rStyle w:val="FootnoteReference"/>
          <w:sz w:val="24"/>
          <w:szCs w:val="24"/>
        </w:rPr>
        <w:footnoteReference w:id="122"/>
      </w:r>
      <w:r w:rsidRPr="008132E3">
        <w:rPr>
          <w:sz w:val="24"/>
          <w:szCs w:val="24"/>
        </w:rPr>
        <w:t xml:space="preserve"> These two cases established that </w:t>
      </w:r>
      <w:r w:rsidR="00A175D2">
        <w:rPr>
          <w:sz w:val="24"/>
          <w:szCs w:val="24"/>
        </w:rPr>
        <w:t>Section 301</w:t>
      </w:r>
      <w:r w:rsidRPr="008132E3">
        <w:rPr>
          <w:sz w:val="24"/>
          <w:szCs w:val="24"/>
        </w:rPr>
        <w:t xml:space="preserve"> bars a state law negligence claim against the NFL directly, intentional misrepresentation claims can only be brought against the individual clubs themselves which harms the interests and efficiency of the class as a whole, and that the only viable claims left available for the entire class against the NFL rest with a breach of contract claim regarding the collective bargaining agreement.</w:t>
      </w:r>
      <w:r>
        <w:rPr>
          <w:rStyle w:val="FootnoteReference"/>
          <w:sz w:val="24"/>
          <w:szCs w:val="24"/>
        </w:rPr>
        <w:footnoteReference w:id="123"/>
      </w:r>
      <w:r w:rsidRPr="008132E3">
        <w:rPr>
          <w:sz w:val="24"/>
          <w:szCs w:val="24"/>
        </w:rPr>
        <w:t xml:space="preserve"> </w:t>
      </w:r>
    </w:p>
    <w:p w14:paraId="545635C6" w14:textId="47E72C4E" w:rsidR="005B4449" w:rsidRPr="008132E3" w:rsidRDefault="005B4449" w:rsidP="00E021FB">
      <w:pPr>
        <w:pStyle w:val="NormalWeb"/>
        <w:ind w:firstLine="720"/>
        <w:contextualSpacing/>
        <w:jc w:val="both"/>
        <w:textAlignment w:val="baseline"/>
        <w:rPr>
          <w:sz w:val="24"/>
          <w:szCs w:val="24"/>
        </w:rPr>
      </w:pPr>
      <w:r w:rsidRPr="008132E3">
        <w:rPr>
          <w:sz w:val="24"/>
          <w:szCs w:val="24"/>
        </w:rPr>
        <w:t xml:space="preserve">First, it is clear from the holding in </w:t>
      </w:r>
      <w:r w:rsidRPr="00DD042B">
        <w:rPr>
          <w:i/>
          <w:iCs/>
          <w:sz w:val="24"/>
          <w:szCs w:val="24"/>
        </w:rPr>
        <w:t>Dent</w:t>
      </w:r>
      <w:r w:rsidRPr="008132E3">
        <w:rPr>
          <w:sz w:val="24"/>
          <w:szCs w:val="24"/>
        </w:rPr>
        <w:t xml:space="preserve"> and the factual information brought forward in </w:t>
      </w:r>
      <w:r w:rsidRPr="0080147B">
        <w:rPr>
          <w:i/>
          <w:iCs/>
          <w:sz w:val="24"/>
          <w:szCs w:val="24"/>
        </w:rPr>
        <w:t>Evans</w:t>
      </w:r>
      <w:r w:rsidRPr="008132E3">
        <w:rPr>
          <w:sz w:val="24"/>
          <w:szCs w:val="24"/>
        </w:rPr>
        <w:t xml:space="preserve"> that the players do not have enough evidence to support a claim that the NFL itself was directly involved in the negligent distribution of the painkillers to the players and because of this, the collective bargaining agreement would need to be interpreted</w:t>
      </w:r>
      <w:r>
        <w:rPr>
          <w:sz w:val="24"/>
          <w:szCs w:val="24"/>
        </w:rPr>
        <w:t>,</w:t>
      </w:r>
      <w:r w:rsidRPr="008132E3">
        <w:rPr>
          <w:sz w:val="24"/>
          <w:szCs w:val="24"/>
        </w:rPr>
        <w:t xml:space="preserve"> and a negligence claim would be preempted under </w:t>
      </w:r>
      <w:r w:rsidR="00A175D2">
        <w:rPr>
          <w:sz w:val="24"/>
          <w:szCs w:val="24"/>
        </w:rPr>
        <w:t>Section 301</w:t>
      </w:r>
      <w:r w:rsidRPr="008132E3">
        <w:rPr>
          <w:sz w:val="24"/>
          <w:szCs w:val="24"/>
        </w:rPr>
        <w:t xml:space="preserve"> of the LMRA.</w:t>
      </w:r>
      <w:r>
        <w:rPr>
          <w:rStyle w:val="FootnoteReference"/>
          <w:sz w:val="24"/>
          <w:szCs w:val="24"/>
        </w:rPr>
        <w:footnoteReference w:id="124"/>
      </w:r>
      <w:r w:rsidRPr="008132E3">
        <w:rPr>
          <w:sz w:val="24"/>
          <w:szCs w:val="24"/>
        </w:rPr>
        <w:t xml:space="preserve"> </w:t>
      </w:r>
      <w:r>
        <w:rPr>
          <w:sz w:val="24"/>
          <w:szCs w:val="24"/>
        </w:rPr>
        <w:t>As</w:t>
      </w:r>
      <w:r w:rsidRPr="008132E3">
        <w:rPr>
          <w:sz w:val="24"/>
          <w:szCs w:val="24"/>
        </w:rPr>
        <w:t xml:space="preserve"> a state law negligence claim against the NFL cannot be filed, the former and current players would have to pivot to one of two alternative legal strategies in order to seek some form of legal relief. </w:t>
      </w:r>
    </w:p>
    <w:p w14:paraId="0A59D59C" w14:textId="155130C0" w:rsidR="005B4449" w:rsidRPr="008132E3" w:rsidRDefault="005B4449" w:rsidP="00E021FB">
      <w:pPr>
        <w:pStyle w:val="NormalWeb"/>
        <w:ind w:firstLine="720"/>
        <w:contextualSpacing/>
        <w:jc w:val="both"/>
        <w:textAlignment w:val="baseline"/>
        <w:rPr>
          <w:sz w:val="24"/>
          <w:szCs w:val="24"/>
        </w:rPr>
      </w:pPr>
      <w:r w:rsidRPr="008132E3">
        <w:rPr>
          <w:sz w:val="24"/>
          <w:szCs w:val="24"/>
        </w:rPr>
        <w:t>One possible legal alternative for the current and former players that is still available is to bring a state law claim for intentional misrepresentation against the individual clubs as opposed to the entire NFL.</w:t>
      </w:r>
      <w:r>
        <w:rPr>
          <w:rStyle w:val="FootnoteReference"/>
          <w:sz w:val="24"/>
          <w:szCs w:val="24"/>
        </w:rPr>
        <w:footnoteReference w:id="125"/>
      </w:r>
      <w:r>
        <w:rPr>
          <w:sz w:val="24"/>
          <w:szCs w:val="24"/>
        </w:rPr>
        <w:t xml:space="preserve"> </w:t>
      </w:r>
      <w:r w:rsidRPr="008132E3">
        <w:rPr>
          <w:sz w:val="24"/>
          <w:szCs w:val="24"/>
        </w:rPr>
        <w:t xml:space="preserve"> However, this option presents several challenges and impracticalities regarding the representation of the class as a whole. </w:t>
      </w:r>
      <w:r>
        <w:rPr>
          <w:sz w:val="24"/>
          <w:szCs w:val="24"/>
        </w:rPr>
        <w:t>For one</w:t>
      </w:r>
      <w:r w:rsidRPr="008132E3">
        <w:rPr>
          <w:sz w:val="24"/>
          <w:szCs w:val="24"/>
        </w:rPr>
        <w:t xml:space="preserve">, this route would result in the claims for misrepresentation </w:t>
      </w:r>
      <w:r>
        <w:rPr>
          <w:sz w:val="24"/>
          <w:szCs w:val="24"/>
        </w:rPr>
        <w:t>being</w:t>
      </w:r>
      <w:r w:rsidRPr="008132E3">
        <w:rPr>
          <w:sz w:val="24"/>
          <w:szCs w:val="24"/>
        </w:rPr>
        <w:t xml:space="preserve"> aimed directly at each football club involved and the facts would be different as they pertained to each club and player involved.</w:t>
      </w:r>
      <w:r>
        <w:rPr>
          <w:rStyle w:val="FootnoteReference"/>
          <w:sz w:val="24"/>
          <w:szCs w:val="24"/>
        </w:rPr>
        <w:footnoteReference w:id="126"/>
      </w:r>
      <w:r w:rsidRPr="008132E3">
        <w:rPr>
          <w:sz w:val="24"/>
          <w:szCs w:val="24"/>
        </w:rPr>
        <w:t xml:space="preserve"> This would add a layer of complexity to seeking legal relief because all members of the class did not play for the same teams, some individuals may gain relief while others may not, and all clubs are individual entities so they all are subject to individualized review when determining whether or not their actions were negligent and would justify the awarding of legal </w:t>
      </w:r>
      <w:r w:rsidRPr="008132E3">
        <w:rPr>
          <w:sz w:val="24"/>
          <w:szCs w:val="24"/>
        </w:rPr>
        <w:lastRenderedPageBreak/>
        <w:t>relief.</w:t>
      </w:r>
      <w:r>
        <w:rPr>
          <w:rStyle w:val="FootnoteReference"/>
          <w:sz w:val="24"/>
          <w:szCs w:val="24"/>
        </w:rPr>
        <w:footnoteReference w:id="127"/>
      </w:r>
      <w:r w:rsidRPr="008132E3">
        <w:rPr>
          <w:sz w:val="24"/>
          <w:szCs w:val="24"/>
        </w:rPr>
        <w:t xml:space="preserve"> </w:t>
      </w:r>
      <w:r>
        <w:rPr>
          <w:sz w:val="24"/>
          <w:szCs w:val="24"/>
        </w:rPr>
        <w:t>When understanding t</w:t>
      </w:r>
      <w:r w:rsidRPr="008132E3">
        <w:rPr>
          <w:sz w:val="24"/>
          <w:szCs w:val="24"/>
        </w:rPr>
        <w:t xml:space="preserve">he ultimate holding in </w:t>
      </w:r>
      <w:r w:rsidRPr="00142E93">
        <w:rPr>
          <w:i/>
          <w:iCs/>
          <w:sz w:val="24"/>
          <w:szCs w:val="24"/>
        </w:rPr>
        <w:t>Evans</w:t>
      </w:r>
      <w:r>
        <w:rPr>
          <w:sz w:val="24"/>
          <w:szCs w:val="24"/>
        </w:rPr>
        <w:t>,</w:t>
      </w:r>
      <w:r w:rsidRPr="008132E3">
        <w:rPr>
          <w:sz w:val="24"/>
          <w:szCs w:val="24"/>
        </w:rPr>
        <w:t xml:space="preserve"> </w:t>
      </w:r>
      <w:r>
        <w:rPr>
          <w:sz w:val="24"/>
          <w:szCs w:val="24"/>
        </w:rPr>
        <w:t>it is fair to conclude that</w:t>
      </w:r>
      <w:r w:rsidRPr="008132E3">
        <w:rPr>
          <w:sz w:val="24"/>
          <w:szCs w:val="24"/>
        </w:rPr>
        <w:t xml:space="preserve"> it is not </w:t>
      </w:r>
      <w:r>
        <w:rPr>
          <w:sz w:val="24"/>
          <w:szCs w:val="24"/>
        </w:rPr>
        <w:t>likely</w:t>
      </w:r>
      <w:r w:rsidRPr="008132E3">
        <w:rPr>
          <w:sz w:val="24"/>
          <w:szCs w:val="24"/>
        </w:rPr>
        <w:t xml:space="preserve"> an effective or efficient strategy </w:t>
      </w:r>
      <w:r>
        <w:rPr>
          <w:sz w:val="24"/>
          <w:szCs w:val="24"/>
        </w:rPr>
        <w:t xml:space="preserve">to continue to seek relief through a </w:t>
      </w:r>
      <w:r w:rsidRPr="008132E3">
        <w:rPr>
          <w:sz w:val="24"/>
          <w:szCs w:val="24"/>
        </w:rPr>
        <w:t xml:space="preserve">class action lawsuit due to the individualized claims of each player that would need to be litigated </w:t>
      </w:r>
      <w:r>
        <w:rPr>
          <w:sz w:val="24"/>
          <w:szCs w:val="24"/>
        </w:rPr>
        <w:t>regarding</w:t>
      </w:r>
      <w:r w:rsidRPr="008132E3">
        <w:rPr>
          <w:sz w:val="24"/>
          <w:szCs w:val="24"/>
        </w:rPr>
        <w:t xml:space="preserve"> the specific club’s practices that they played for.</w:t>
      </w:r>
    </w:p>
    <w:p w14:paraId="33646BA2" w14:textId="0F265587" w:rsidR="005B4449" w:rsidRPr="008132E3" w:rsidRDefault="005B4449" w:rsidP="00E021FB">
      <w:pPr>
        <w:pStyle w:val="NormalWeb"/>
        <w:ind w:firstLine="720"/>
        <w:contextualSpacing/>
        <w:jc w:val="both"/>
        <w:textAlignment w:val="baseline"/>
        <w:rPr>
          <w:sz w:val="24"/>
          <w:szCs w:val="24"/>
        </w:rPr>
      </w:pPr>
      <w:r>
        <w:rPr>
          <w:sz w:val="24"/>
          <w:szCs w:val="24"/>
        </w:rPr>
        <w:t>A</w:t>
      </w:r>
      <w:r w:rsidRPr="008132E3">
        <w:rPr>
          <w:sz w:val="24"/>
          <w:szCs w:val="24"/>
        </w:rPr>
        <w:t xml:space="preserve">nother alternative form of legal relief would be for former and current players to bring a federal breach of contract </w:t>
      </w:r>
      <w:r>
        <w:rPr>
          <w:sz w:val="24"/>
          <w:szCs w:val="24"/>
        </w:rPr>
        <w:t xml:space="preserve">action against the NFL </w:t>
      </w:r>
      <w:r w:rsidRPr="008132E3">
        <w:rPr>
          <w:sz w:val="24"/>
          <w:szCs w:val="24"/>
        </w:rPr>
        <w:t>for violating the terms of the CBA.</w:t>
      </w:r>
      <w:r>
        <w:rPr>
          <w:rStyle w:val="FootnoteReference"/>
          <w:sz w:val="24"/>
          <w:szCs w:val="24"/>
        </w:rPr>
        <w:footnoteReference w:id="128"/>
      </w:r>
      <w:r w:rsidRPr="008132E3">
        <w:rPr>
          <w:sz w:val="24"/>
          <w:szCs w:val="24"/>
        </w:rPr>
        <w:t xml:space="preserve"> </w:t>
      </w:r>
      <w:r>
        <w:rPr>
          <w:sz w:val="24"/>
          <w:szCs w:val="24"/>
        </w:rPr>
        <w:t xml:space="preserve">However, </w:t>
      </w:r>
      <w:r w:rsidRPr="008132E3">
        <w:rPr>
          <w:sz w:val="24"/>
          <w:szCs w:val="24"/>
        </w:rPr>
        <w:t>once again</w:t>
      </w:r>
      <w:r>
        <w:rPr>
          <w:sz w:val="24"/>
          <w:szCs w:val="24"/>
        </w:rPr>
        <w:t>,</w:t>
      </w:r>
      <w:r w:rsidRPr="008132E3">
        <w:rPr>
          <w:sz w:val="24"/>
          <w:szCs w:val="24"/>
        </w:rPr>
        <w:t xml:space="preserve"> this route presents its own disadvantages and impracticalities. </w:t>
      </w:r>
      <w:r>
        <w:rPr>
          <w:sz w:val="24"/>
          <w:szCs w:val="24"/>
        </w:rPr>
        <w:t>An</w:t>
      </w:r>
      <w:r w:rsidRPr="008132E3">
        <w:rPr>
          <w:sz w:val="24"/>
          <w:szCs w:val="24"/>
        </w:rPr>
        <w:t xml:space="preserve"> issue with this legal route is that the remedies that would potentially be acquired from a breach of contract claim </w:t>
      </w:r>
      <w:r>
        <w:rPr>
          <w:sz w:val="24"/>
          <w:szCs w:val="24"/>
        </w:rPr>
        <w:t>regarding</w:t>
      </w:r>
      <w:r w:rsidRPr="008132E3">
        <w:rPr>
          <w:sz w:val="24"/>
          <w:szCs w:val="24"/>
        </w:rPr>
        <w:t xml:space="preserve"> the CBA would not likely be as fruitful as a negligence per se claim in violation of California </w:t>
      </w:r>
      <w:r>
        <w:rPr>
          <w:sz w:val="24"/>
          <w:szCs w:val="24"/>
        </w:rPr>
        <w:t>l</w:t>
      </w:r>
      <w:r w:rsidRPr="008132E3">
        <w:rPr>
          <w:sz w:val="24"/>
          <w:szCs w:val="24"/>
        </w:rPr>
        <w:t>aw.</w:t>
      </w:r>
      <w:r>
        <w:rPr>
          <w:rStyle w:val="FootnoteReference"/>
          <w:sz w:val="24"/>
          <w:szCs w:val="24"/>
        </w:rPr>
        <w:footnoteReference w:id="129"/>
      </w:r>
      <w:r w:rsidRPr="008132E3">
        <w:rPr>
          <w:sz w:val="24"/>
          <w:szCs w:val="24"/>
        </w:rPr>
        <w:t xml:space="preserve"> In the final holding of </w:t>
      </w:r>
      <w:r w:rsidRPr="00CD19A1">
        <w:rPr>
          <w:i/>
          <w:iCs/>
          <w:sz w:val="24"/>
          <w:szCs w:val="24"/>
        </w:rPr>
        <w:t>Evans</w:t>
      </w:r>
      <w:r w:rsidRPr="008132E3">
        <w:rPr>
          <w:sz w:val="24"/>
          <w:szCs w:val="24"/>
        </w:rPr>
        <w:t xml:space="preserve">, Judge </w:t>
      </w:r>
      <w:proofErr w:type="spellStart"/>
      <w:r w:rsidRPr="008132E3">
        <w:rPr>
          <w:sz w:val="24"/>
          <w:szCs w:val="24"/>
        </w:rPr>
        <w:t>Alsup</w:t>
      </w:r>
      <w:proofErr w:type="spellEnd"/>
      <w:r w:rsidRPr="008132E3">
        <w:rPr>
          <w:sz w:val="24"/>
          <w:szCs w:val="24"/>
        </w:rPr>
        <w:t xml:space="preserve"> recognized that this legal remedy may not be the most fruitful</w:t>
      </w:r>
      <w:r>
        <w:rPr>
          <w:sz w:val="24"/>
          <w:szCs w:val="24"/>
        </w:rPr>
        <w:t xml:space="preserve">, </w:t>
      </w:r>
      <w:r w:rsidRPr="008132E3">
        <w:rPr>
          <w:sz w:val="24"/>
          <w:szCs w:val="24"/>
        </w:rPr>
        <w:t>stating, “</w:t>
      </w:r>
      <w:r>
        <w:rPr>
          <w:sz w:val="24"/>
          <w:szCs w:val="24"/>
        </w:rPr>
        <w:t>a</w:t>
      </w:r>
      <w:r w:rsidRPr="008132E3">
        <w:rPr>
          <w:sz w:val="24"/>
          <w:szCs w:val="24"/>
        </w:rPr>
        <w:t>lthough workers’ compensation and collective bargaining remedies are not gold-plated remedies, they are at least remedies recognized under the law.”</w:t>
      </w:r>
      <w:r>
        <w:rPr>
          <w:rStyle w:val="FootnoteReference"/>
          <w:sz w:val="24"/>
          <w:szCs w:val="24"/>
        </w:rPr>
        <w:footnoteReference w:id="130"/>
      </w:r>
      <w:r w:rsidRPr="008132E3">
        <w:rPr>
          <w:sz w:val="24"/>
          <w:szCs w:val="24"/>
        </w:rPr>
        <w:t xml:space="preserve"> Th</w:t>
      </w:r>
      <w:r>
        <w:rPr>
          <w:sz w:val="24"/>
          <w:szCs w:val="24"/>
        </w:rPr>
        <w:t>erefore</w:t>
      </w:r>
      <w:r w:rsidRPr="008132E3">
        <w:rPr>
          <w:sz w:val="24"/>
          <w:szCs w:val="24"/>
        </w:rPr>
        <w:t>, under this legal theory</w:t>
      </w:r>
      <w:r>
        <w:rPr>
          <w:sz w:val="24"/>
          <w:szCs w:val="24"/>
        </w:rPr>
        <w:t>,</w:t>
      </w:r>
      <w:r w:rsidRPr="008132E3">
        <w:rPr>
          <w:sz w:val="24"/>
          <w:szCs w:val="24"/>
        </w:rPr>
        <w:t xml:space="preserve"> it is not likely that players would be compensated in a manner that would equal the harm that they are currently suffering.</w:t>
      </w:r>
      <w:r>
        <w:rPr>
          <w:sz w:val="24"/>
          <w:szCs w:val="24"/>
        </w:rPr>
        <w:t xml:space="preserve"> </w:t>
      </w:r>
      <w:r w:rsidRPr="008132E3">
        <w:rPr>
          <w:sz w:val="24"/>
          <w:szCs w:val="24"/>
        </w:rPr>
        <w:t>Additionally, the</w:t>
      </w:r>
      <w:r>
        <w:rPr>
          <w:sz w:val="24"/>
          <w:szCs w:val="24"/>
        </w:rPr>
        <w:t xml:space="preserve"> </w:t>
      </w:r>
      <w:r w:rsidRPr="008132E3">
        <w:rPr>
          <w:sz w:val="24"/>
          <w:szCs w:val="24"/>
        </w:rPr>
        <w:t xml:space="preserve">CBA </w:t>
      </w:r>
      <w:r>
        <w:rPr>
          <w:sz w:val="24"/>
          <w:szCs w:val="24"/>
        </w:rPr>
        <w:t xml:space="preserve">between the NFL and </w:t>
      </w:r>
      <w:r w:rsidRPr="008132E3">
        <w:rPr>
          <w:sz w:val="24"/>
          <w:szCs w:val="24"/>
        </w:rPr>
        <w:t xml:space="preserve">its players </w:t>
      </w:r>
      <w:proofErr w:type="gramStart"/>
      <w:r w:rsidRPr="008132E3">
        <w:rPr>
          <w:sz w:val="24"/>
          <w:szCs w:val="24"/>
        </w:rPr>
        <w:t>is</w:t>
      </w:r>
      <w:proofErr w:type="gramEnd"/>
      <w:r w:rsidRPr="008132E3">
        <w:rPr>
          <w:sz w:val="24"/>
          <w:szCs w:val="24"/>
        </w:rPr>
        <w:t xml:space="preserve"> subject to change</w:t>
      </w:r>
      <w:r>
        <w:rPr>
          <w:sz w:val="24"/>
          <w:szCs w:val="24"/>
        </w:rPr>
        <w:t>,</w:t>
      </w:r>
      <w:r w:rsidRPr="008132E3">
        <w:rPr>
          <w:sz w:val="24"/>
          <w:szCs w:val="24"/>
        </w:rPr>
        <w:t xml:space="preserve"> and has been changed nine times throughout </w:t>
      </w:r>
      <w:r>
        <w:rPr>
          <w:sz w:val="24"/>
          <w:szCs w:val="24"/>
        </w:rPr>
        <w:t>the League</w:t>
      </w:r>
      <w:r w:rsidRPr="008132E3">
        <w:rPr>
          <w:sz w:val="24"/>
          <w:szCs w:val="24"/>
        </w:rPr>
        <w:t>’s tenure.</w:t>
      </w:r>
      <w:r>
        <w:rPr>
          <w:rStyle w:val="FootnoteReference"/>
          <w:sz w:val="24"/>
          <w:szCs w:val="24"/>
        </w:rPr>
        <w:footnoteReference w:id="131"/>
      </w:r>
      <w:r w:rsidRPr="008132E3">
        <w:rPr>
          <w:sz w:val="24"/>
          <w:szCs w:val="24"/>
        </w:rPr>
        <w:t xml:space="preserve"> Thus, former and current players may have claims that arise from different versions of the CBA, which would produce additional complications and reduce efficiency for a class action lawsuit. </w:t>
      </w:r>
    </w:p>
    <w:p w14:paraId="3C9D4D55" w14:textId="097A74EA" w:rsidR="005B4449" w:rsidRDefault="005B4449" w:rsidP="00E021FB">
      <w:pPr>
        <w:pStyle w:val="NormalWeb"/>
        <w:ind w:firstLine="720"/>
        <w:contextualSpacing/>
        <w:jc w:val="both"/>
        <w:textAlignment w:val="baseline"/>
        <w:rPr>
          <w:sz w:val="24"/>
          <w:szCs w:val="24"/>
        </w:rPr>
      </w:pPr>
      <w:r w:rsidRPr="008132E3">
        <w:rPr>
          <w:sz w:val="24"/>
          <w:szCs w:val="24"/>
        </w:rPr>
        <w:t xml:space="preserve">In short, legal relief is not a viable solution to resolve the ongoing painkiller issue in professional football. </w:t>
      </w:r>
      <w:proofErr w:type="gramStart"/>
      <w:r w:rsidRPr="008132E3">
        <w:rPr>
          <w:sz w:val="24"/>
          <w:szCs w:val="24"/>
        </w:rPr>
        <w:t>In light of</w:t>
      </w:r>
      <w:proofErr w:type="gramEnd"/>
      <w:r w:rsidRPr="008132E3">
        <w:rPr>
          <w:sz w:val="24"/>
          <w:szCs w:val="24"/>
        </w:rPr>
        <w:t xml:space="preserve"> the most recent decision in </w:t>
      </w:r>
      <w:r w:rsidRPr="007119E5">
        <w:rPr>
          <w:i/>
          <w:iCs/>
          <w:sz w:val="24"/>
          <w:szCs w:val="24"/>
        </w:rPr>
        <w:t>Dent</w:t>
      </w:r>
      <w:r w:rsidRPr="008132E3">
        <w:rPr>
          <w:sz w:val="24"/>
          <w:szCs w:val="24"/>
        </w:rPr>
        <w:t xml:space="preserve">, which firmly stated that under the current facts provided that state law claims for negligence against the NFL itself were preempted under </w:t>
      </w:r>
      <w:r w:rsidR="00A175D2">
        <w:rPr>
          <w:sz w:val="24"/>
          <w:szCs w:val="24"/>
        </w:rPr>
        <w:t>Section 301</w:t>
      </w:r>
      <w:r w:rsidRPr="008132E3">
        <w:rPr>
          <w:sz w:val="24"/>
          <w:szCs w:val="24"/>
        </w:rPr>
        <w:t xml:space="preserve"> of the LMRA, it is not in the best interest of current and former players to seek legal remedies for their substance addictions and abuse. </w:t>
      </w:r>
      <w:r>
        <w:rPr>
          <w:sz w:val="24"/>
          <w:szCs w:val="24"/>
        </w:rPr>
        <w:t>In</w:t>
      </w:r>
      <w:r w:rsidRPr="008132E3">
        <w:rPr>
          <w:sz w:val="24"/>
          <w:szCs w:val="24"/>
        </w:rPr>
        <w:t xml:space="preserve"> analyzing the two alternative legal strategies that could still be pursued by current and former players with opioid addictions, the impracticalities and inefficiencies that come with these theories paired with the cost of litigation would weigh against the potential benefit that the players would receive if their attempts were successful.</w:t>
      </w:r>
    </w:p>
    <w:p w14:paraId="30683C0E" w14:textId="77777777" w:rsidR="00E021FB" w:rsidRPr="008132E3" w:rsidRDefault="00E021FB" w:rsidP="00E021FB">
      <w:pPr>
        <w:pStyle w:val="NormalWeb"/>
        <w:ind w:firstLine="720"/>
        <w:contextualSpacing/>
        <w:jc w:val="both"/>
        <w:textAlignment w:val="baseline"/>
        <w:rPr>
          <w:sz w:val="24"/>
          <w:szCs w:val="24"/>
        </w:rPr>
      </w:pPr>
    </w:p>
    <w:p w14:paraId="6C828979" w14:textId="0064C438" w:rsidR="005B4449" w:rsidRPr="00E021FB" w:rsidRDefault="005B4449" w:rsidP="00E021FB">
      <w:pPr>
        <w:pStyle w:val="NormalWeb"/>
        <w:keepNext/>
        <w:keepLines/>
        <w:numPr>
          <w:ilvl w:val="0"/>
          <w:numId w:val="6"/>
        </w:numPr>
        <w:ind w:left="0" w:firstLine="0"/>
        <w:contextualSpacing/>
        <w:jc w:val="center"/>
        <w:textAlignment w:val="baseline"/>
        <w:rPr>
          <w:b/>
          <w:bCs/>
          <w:sz w:val="24"/>
          <w:szCs w:val="24"/>
        </w:rPr>
      </w:pPr>
      <w:r>
        <w:rPr>
          <w:b/>
          <w:bCs/>
          <w:smallCaps/>
          <w:sz w:val="24"/>
          <w:szCs w:val="24"/>
        </w:rPr>
        <w:lastRenderedPageBreak/>
        <w:t>Legislative Action &amp; Cultural Awareness as the Appropriate Route for Relief</w:t>
      </w:r>
    </w:p>
    <w:p w14:paraId="1F713A32" w14:textId="77777777" w:rsidR="00E021FB" w:rsidRPr="005810C0" w:rsidRDefault="00E021FB" w:rsidP="00E021FB">
      <w:pPr>
        <w:pStyle w:val="NormalWeb"/>
        <w:keepNext/>
        <w:keepLines/>
        <w:contextualSpacing/>
        <w:textAlignment w:val="baseline"/>
        <w:rPr>
          <w:b/>
          <w:bCs/>
          <w:sz w:val="24"/>
          <w:szCs w:val="24"/>
        </w:rPr>
      </w:pPr>
    </w:p>
    <w:p w14:paraId="5F51DBC5" w14:textId="4F3B3B09" w:rsidR="00E021FB" w:rsidRDefault="005B4449" w:rsidP="00E021FB">
      <w:pPr>
        <w:pStyle w:val="NormalWeb"/>
        <w:keepNext/>
        <w:keepLines/>
        <w:ind w:firstLine="720"/>
        <w:contextualSpacing/>
        <w:jc w:val="both"/>
        <w:textAlignment w:val="baseline"/>
        <w:rPr>
          <w:sz w:val="24"/>
          <w:szCs w:val="24"/>
        </w:rPr>
      </w:pPr>
      <w:r w:rsidRPr="004332A3">
        <w:rPr>
          <w:sz w:val="24"/>
          <w:szCs w:val="24"/>
        </w:rPr>
        <w:t>As courts are unable to provide an adequate remedy to players</w:t>
      </w:r>
      <w:r>
        <w:rPr>
          <w:b/>
          <w:bCs/>
          <w:sz w:val="24"/>
          <w:szCs w:val="24"/>
        </w:rPr>
        <w:t xml:space="preserve"> </w:t>
      </w:r>
      <w:r w:rsidRPr="008132E3">
        <w:rPr>
          <w:sz w:val="24"/>
          <w:szCs w:val="24"/>
        </w:rPr>
        <w:t>who have suffered from opioid addictions</w:t>
      </w:r>
      <w:r>
        <w:rPr>
          <w:sz w:val="24"/>
          <w:szCs w:val="24"/>
        </w:rPr>
        <w:t>,</w:t>
      </w:r>
      <w:r w:rsidRPr="008132E3">
        <w:rPr>
          <w:sz w:val="24"/>
          <w:szCs w:val="24"/>
        </w:rPr>
        <w:t xml:space="preserve"> and </w:t>
      </w:r>
      <w:r>
        <w:rPr>
          <w:sz w:val="24"/>
          <w:szCs w:val="24"/>
        </w:rPr>
        <w:t xml:space="preserve">since </w:t>
      </w:r>
      <w:r w:rsidRPr="008132E3">
        <w:rPr>
          <w:sz w:val="24"/>
          <w:szCs w:val="24"/>
        </w:rPr>
        <w:t>the NFL cannot be held liable for its negligen</w:t>
      </w:r>
      <w:r>
        <w:rPr>
          <w:sz w:val="24"/>
          <w:szCs w:val="24"/>
        </w:rPr>
        <w:t>ce</w:t>
      </w:r>
      <w:r w:rsidRPr="008132E3">
        <w:rPr>
          <w:sz w:val="24"/>
          <w:szCs w:val="24"/>
        </w:rPr>
        <w:t xml:space="preserve"> in a class action lawsuit, the most appropriate remedy for this ongoing problem would be to take legislative action and spread cultural awareness that can help prevent these dangerous prescription practices from continuing to take place in the future.</w:t>
      </w:r>
      <w:r>
        <w:rPr>
          <w:rStyle w:val="FootnoteReference"/>
          <w:sz w:val="24"/>
          <w:szCs w:val="24"/>
        </w:rPr>
        <w:footnoteReference w:id="132"/>
      </w:r>
      <w:r w:rsidRPr="008132E3">
        <w:rPr>
          <w:sz w:val="24"/>
          <w:szCs w:val="24"/>
        </w:rPr>
        <w:t xml:space="preserve"> In determining the </w:t>
      </w:r>
      <w:r>
        <w:rPr>
          <w:sz w:val="24"/>
          <w:szCs w:val="24"/>
        </w:rPr>
        <w:t xml:space="preserve">appropriate </w:t>
      </w:r>
      <w:r w:rsidRPr="008132E3">
        <w:rPr>
          <w:sz w:val="24"/>
          <w:szCs w:val="24"/>
        </w:rPr>
        <w:t xml:space="preserve">next steps, it </w:t>
      </w:r>
      <w:r>
        <w:rPr>
          <w:sz w:val="24"/>
          <w:szCs w:val="24"/>
        </w:rPr>
        <w:t>is</w:t>
      </w:r>
      <w:r w:rsidRPr="008132E3">
        <w:rPr>
          <w:sz w:val="24"/>
          <w:szCs w:val="24"/>
        </w:rPr>
        <w:t xml:space="preserve"> beneficial to analyze the legislative and cultural actions taken in response to the ongoing concussion crisis in the NFL.</w:t>
      </w:r>
    </w:p>
    <w:p w14:paraId="061F6B98" w14:textId="59C46B36" w:rsidR="005B4449" w:rsidRPr="008132E3" w:rsidRDefault="005B4449" w:rsidP="00E021FB">
      <w:pPr>
        <w:pStyle w:val="NormalWeb"/>
        <w:ind w:firstLine="720"/>
        <w:contextualSpacing/>
        <w:jc w:val="both"/>
        <w:textAlignment w:val="baseline"/>
        <w:rPr>
          <w:sz w:val="24"/>
          <w:szCs w:val="24"/>
        </w:rPr>
      </w:pPr>
      <w:r w:rsidRPr="008132E3">
        <w:rPr>
          <w:sz w:val="24"/>
          <w:szCs w:val="24"/>
        </w:rPr>
        <w:t xml:space="preserve"> </w:t>
      </w:r>
    </w:p>
    <w:p w14:paraId="04EEEA30" w14:textId="592633C0" w:rsidR="005B4449" w:rsidRPr="005C6C3F" w:rsidRDefault="005B4449" w:rsidP="00E021FB">
      <w:pPr>
        <w:pStyle w:val="NormalWeb"/>
        <w:numPr>
          <w:ilvl w:val="0"/>
          <w:numId w:val="7"/>
        </w:numPr>
        <w:ind w:left="0" w:firstLine="0"/>
        <w:contextualSpacing/>
        <w:jc w:val="center"/>
        <w:textAlignment w:val="baseline"/>
        <w:rPr>
          <w:b/>
          <w:bCs/>
          <w:smallCaps/>
          <w:sz w:val="24"/>
          <w:szCs w:val="24"/>
        </w:rPr>
      </w:pPr>
      <w:r w:rsidRPr="005C6C3F">
        <w:rPr>
          <w:b/>
          <w:bCs/>
          <w:smallCaps/>
          <w:sz w:val="24"/>
          <w:szCs w:val="24"/>
        </w:rPr>
        <w:t>The NFL’s Concussion Crisis</w:t>
      </w:r>
    </w:p>
    <w:p w14:paraId="5C0DB714" w14:textId="77777777" w:rsidR="00E021FB" w:rsidRDefault="00E021FB" w:rsidP="00E021FB">
      <w:pPr>
        <w:pStyle w:val="NormalWeb"/>
        <w:ind w:firstLine="720"/>
        <w:contextualSpacing/>
        <w:jc w:val="both"/>
        <w:textAlignment w:val="baseline"/>
        <w:rPr>
          <w:sz w:val="24"/>
          <w:szCs w:val="24"/>
        </w:rPr>
      </w:pPr>
    </w:p>
    <w:p w14:paraId="127D2012" w14:textId="4E3ED8BD" w:rsidR="005B4449" w:rsidRPr="00FE7BC3" w:rsidRDefault="005B4449" w:rsidP="00E021FB">
      <w:pPr>
        <w:pStyle w:val="NormalWeb"/>
        <w:ind w:firstLine="720"/>
        <w:contextualSpacing/>
        <w:jc w:val="both"/>
        <w:textAlignment w:val="baseline"/>
        <w:rPr>
          <w:i/>
          <w:iCs/>
          <w:sz w:val="24"/>
          <w:szCs w:val="24"/>
        </w:rPr>
      </w:pPr>
      <w:r w:rsidRPr="008132E3">
        <w:rPr>
          <w:sz w:val="24"/>
          <w:szCs w:val="24"/>
        </w:rPr>
        <w:t>The</w:t>
      </w:r>
      <w:r>
        <w:rPr>
          <w:sz w:val="24"/>
          <w:szCs w:val="24"/>
        </w:rPr>
        <w:t xml:space="preserve"> controversy regarding concussions in the</w:t>
      </w:r>
      <w:r w:rsidRPr="008132E3">
        <w:rPr>
          <w:sz w:val="24"/>
          <w:szCs w:val="24"/>
        </w:rPr>
        <w:t xml:space="preserve"> NFL is similar to the </w:t>
      </w:r>
      <w:r>
        <w:rPr>
          <w:sz w:val="24"/>
          <w:szCs w:val="24"/>
        </w:rPr>
        <w:t xml:space="preserve">debate regarding </w:t>
      </w:r>
      <w:r w:rsidRPr="008132E3">
        <w:rPr>
          <w:sz w:val="24"/>
          <w:szCs w:val="24"/>
        </w:rPr>
        <w:t xml:space="preserve">painkiller </w:t>
      </w:r>
      <w:r>
        <w:rPr>
          <w:sz w:val="24"/>
          <w:szCs w:val="24"/>
        </w:rPr>
        <w:t>use in that it has affected many players</w:t>
      </w:r>
      <w:r w:rsidRPr="008132E3">
        <w:rPr>
          <w:sz w:val="24"/>
          <w:szCs w:val="24"/>
        </w:rPr>
        <w:t>, the</w:t>
      </w:r>
      <w:r>
        <w:rPr>
          <w:sz w:val="24"/>
          <w:szCs w:val="24"/>
        </w:rPr>
        <w:t>re is an ongoing</w:t>
      </w:r>
      <w:r w:rsidRPr="008132E3">
        <w:rPr>
          <w:sz w:val="24"/>
          <w:szCs w:val="24"/>
        </w:rPr>
        <w:t xml:space="preserve"> struggle for legal relief, and the</w:t>
      </w:r>
      <w:r>
        <w:rPr>
          <w:sz w:val="24"/>
          <w:szCs w:val="24"/>
        </w:rPr>
        <w:t>re is an abundance of</w:t>
      </w:r>
      <w:r w:rsidRPr="008132E3">
        <w:rPr>
          <w:sz w:val="24"/>
          <w:szCs w:val="24"/>
        </w:rPr>
        <w:t xml:space="preserve"> concern and attention from the public.</w:t>
      </w:r>
      <w:r>
        <w:rPr>
          <w:rStyle w:val="FootnoteReference"/>
          <w:sz w:val="24"/>
          <w:szCs w:val="24"/>
        </w:rPr>
        <w:footnoteReference w:id="133"/>
      </w:r>
      <w:r w:rsidRPr="008132E3">
        <w:rPr>
          <w:sz w:val="24"/>
          <w:szCs w:val="24"/>
        </w:rPr>
        <w:t xml:space="preserve"> Reports show that many retired NFL players who suffered concussions during their NFL careers have developed long term health defects such as dementia and Chronic Traumatic Encephalopathy (</w:t>
      </w:r>
      <w:r w:rsidR="0013617E">
        <w:rPr>
          <w:sz w:val="24"/>
          <w:szCs w:val="24"/>
        </w:rPr>
        <w:t>“</w:t>
      </w:r>
      <w:r w:rsidRPr="008132E3">
        <w:rPr>
          <w:sz w:val="24"/>
          <w:szCs w:val="24"/>
        </w:rPr>
        <w:t>CTE</w:t>
      </w:r>
      <w:r w:rsidR="0013617E">
        <w:rPr>
          <w:sz w:val="24"/>
          <w:szCs w:val="24"/>
        </w:rPr>
        <w:t>”</w:t>
      </w:r>
      <w:r w:rsidRPr="008132E3">
        <w:rPr>
          <w:sz w:val="24"/>
          <w:szCs w:val="24"/>
        </w:rPr>
        <w:t>).</w:t>
      </w:r>
      <w:r>
        <w:rPr>
          <w:rStyle w:val="FootnoteReference"/>
          <w:sz w:val="24"/>
          <w:szCs w:val="24"/>
        </w:rPr>
        <w:footnoteReference w:id="134"/>
      </w:r>
      <w:r w:rsidRPr="008132E3">
        <w:rPr>
          <w:sz w:val="24"/>
          <w:szCs w:val="24"/>
        </w:rPr>
        <w:t xml:space="preserve"> </w:t>
      </w:r>
      <w:r>
        <w:rPr>
          <w:sz w:val="24"/>
          <w:szCs w:val="24"/>
        </w:rPr>
        <w:t>S</w:t>
      </w:r>
      <w:r w:rsidRPr="008132E3">
        <w:rPr>
          <w:sz w:val="24"/>
          <w:szCs w:val="24"/>
        </w:rPr>
        <w:t xml:space="preserve">everal class action lawsuits were filed </w:t>
      </w:r>
      <w:r>
        <w:rPr>
          <w:sz w:val="24"/>
          <w:szCs w:val="24"/>
        </w:rPr>
        <w:t>to address</w:t>
      </w:r>
      <w:r w:rsidRPr="008132E3">
        <w:rPr>
          <w:sz w:val="24"/>
          <w:szCs w:val="24"/>
        </w:rPr>
        <w:t xml:space="preserve"> the long-term health effects former players were suffering </w:t>
      </w:r>
      <w:r>
        <w:rPr>
          <w:sz w:val="24"/>
          <w:szCs w:val="24"/>
        </w:rPr>
        <w:t>as a result of these injuries</w:t>
      </w:r>
      <w:r w:rsidRPr="008132E3">
        <w:rPr>
          <w:sz w:val="24"/>
          <w:szCs w:val="24"/>
        </w:rPr>
        <w:t>.</w:t>
      </w:r>
      <w:r>
        <w:rPr>
          <w:rStyle w:val="FootnoteReference"/>
          <w:sz w:val="24"/>
          <w:szCs w:val="24"/>
        </w:rPr>
        <w:footnoteReference w:id="135"/>
      </w:r>
      <w:r w:rsidRPr="008132E3">
        <w:rPr>
          <w:sz w:val="24"/>
          <w:szCs w:val="24"/>
        </w:rPr>
        <w:t xml:space="preserve"> Unlike the painkiller lawsuit at hand, former players were actually successful in a class action lawsuit against the NFL and achieved a settlement from the NFL as a result of the litigation.</w:t>
      </w:r>
      <w:r>
        <w:rPr>
          <w:rStyle w:val="FootnoteReference"/>
          <w:sz w:val="24"/>
          <w:szCs w:val="24"/>
        </w:rPr>
        <w:footnoteReference w:id="136"/>
      </w:r>
      <w:r w:rsidRPr="008132E3">
        <w:rPr>
          <w:sz w:val="24"/>
          <w:szCs w:val="24"/>
        </w:rPr>
        <w:t xml:space="preserve"> However, while originally this settlement was thought to be a historic breakthrough, many players who suffered from concussions did not receive compensation</w:t>
      </w:r>
      <w:r>
        <w:rPr>
          <w:sz w:val="24"/>
          <w:szCs w:val="24"/>
        </w:rPr>
        <w:t>,</w:t>
      </w:r>
      <w:r w:rsidRPr="008132E3">
        <w:rPr>
          <w:sz w:val="24"/>
          <w:szCs w:val="24"/>
        </w:rPr>
        <w:t xml:space="preserve"> and the settlement descended into a battle between plaintiffs’ attorneys</w:t>
      </w:r>
      <w:r>
        <w:rPr>
          <w:sz w:val="24"/>
          <w:szCs w:val="24"/>
        </w:rPr>
        <w:t xml:space="preserve"> and </w:t>
      </w:r>
      <w:r w:rsidRPr="008132E3">
        <w:rPr>
          <w:sz w:val="24"/>
          <w:szCs w:val="24"/>
        </w:rPr>
        <w:t>the NFL</w:t>
      </w:r>
      <w:r>
        <w:rPr>
          <w:sz w:val="24"/>
          <w:szCs w:val="24"/>
        </w:rPr>
        <w:t>,</w:t>
      </w:r>
      <w:r w:rsidRPr="008132E3">
        <w:rPr>
          <w:sz w:val="24"/>
          <w:szCs w:val="24"/>
        </w:rPr>
        <w:t xml:space="preserve"> who is still trying to avoid liability.</w:t>
      </w:r>
      <w:r>
        <w:rPr>
          <w:rStyle w:val="FootnoteReference"/>
          <w:sz w:val="24"/>
          <w:szCs w:val="24"/>
        </w:rPr>
        <w:footnoteReference w:id="137"/>
      </w:r>
      <w:r w:rsidRPr="008132E3">
        <w:rPr>
          <w:sz w:val="24"/>
          <w:szCs w:val="24"/>
        </w:rPr>
        <w:t xml:space="preserve"> Thus, even though the lawsuit was held in favor of the players, many players and their families </w:t>
      </w:r>
      <w:r w:rsidRPr="008132E3">
        <w:rPr>
          <w:sz w:val="24"/>
          <w:szCs w:val="24"/>
        </w:rPr>
        <w:lastRenderedPageBreak/>
        <w:t>continue to suffer the effects of serious brain damage from playing football, and the concussion problem continue</w:t>
      </w:r>
      <w:r>
        <w:rPr>
          <w:sz w:val="24"/>
          <w:szCs w:val="24"/>
        </w:rPr>
        <w:t>s</w:t>
      </w:r>
      <w:r w:rsidRPr="008132E3">
        <w:rPr>
          <w:sz w:val="24"/>
          <w:szCs w:val="24"/>
        </w:rPr>
        <w:t xml:space="preserve"> to persist.</w:t>
      </w:r>
      <w:r>
        <w:rPr>
          <w:rStyle w:val="FootnoteReference"/>
          <w:sz w:val="24"/>
          <w:szCs w:val="24"/>
        </w:rPr>
        <w:footnoteReference w:id="138"/>
      </w:r>
    </w:p>
    <w:p w14:paraId="6544056A" w14:textId="77777777" w:rsidR="005B4449" w:rsidRPr="008132E3" w:rsidRDefault="005B4449" w:rsidP="00E021FB">
      <w:pPr>
        <w:pStyle w:val="NormalWeb"/>
        <w:ind w:firstLine="720"/>
        <w:contextualSpacing/>
        <w:jc w:val="both"/>
        <w:textAlignment w:val="baseline"/>
        <w:rPr>
          <w:sz w:val="24"/>
          <w:szCs w:val="24"/>
        </w:rPr>
      </w:pPr>
      <w:r w:rsidRPr="008132E3">
        <w:rPr>
          <w:sz w:val="24"/>
          <w:szCs w:val="24"/>
        </w:rPr>
        <w:t xml:space="preserve">The legal system has not provided adequate relief to former players and did not result in </w:t>
      </w:r>
      <w:r>
        <w:rPr>
          <w:sz w:val="24"/>
          <w:szCs w:val="24"/>
        </w:rPr>
        <w:t>satisfactory</w:t>
      </w:r>
      <w:r w:rsidRPr="008132E3">
        <w:rPr>
          <w:sz w:val="24"/>
          <w:szCs w:val="24"/>
        </w:rPr>
        <w:t xml:space="preserve"> solutions to the concussion crisis that the NFL is currently facing. </w:t>
      </w:r>
      <w:proofErr w:type="gramStart"/>
      <w:r w:rsidRPr="008132E3">
        <w:rPr>
          <w:sz w:val="24"/>
          <w:szCs w:val="24"/>
        </w:rPr>
        <w:t>In order to</w:t>
      </w:r>
      <w:proofErr w:type="gramEnd"/>
      <w:r w:rsidRPr="008132E3">
        <w:rPr>
          <w:sz w:val="24"/>
          <w:szCs w:val="24"/>
        </w:rPr>
        <w:t xml:space="preserve"> help resolve this epidemic, society turned to legislative action and cultural awareness to make changes </w:t>
      </w:r>
      <w:r>
        <w:rPr>
          <w:sz w:val="24"/>
          <w:szCs w:val="24"/>
        </w:rPr>
        <w:t>to</w:t>
      </w:r>
      <w:r w:rsidRPr="008132E3">
        <w:rPr>
          <w:sz w:val="24"/>
          <w:szCs w:val="24"/>
        </w:rPr>
        <w:t xml:space="preserve"> prevent this problem from persisting. In response to the NFL’s concussion epidemic, forty-eight states have adopted concussion laws that pertain to their youth sports leagues.</w:t>
      </w:r>
      <w:r>
        <w:rPr>
          <w:rStyle w:val="FootnoteReference"/>
          <w:sz w:val="24"/>
          <w:szCs w:val="24"/>
        </w:rPr>
        <w:footnoteReference w:id="139"/>
      </w:r>
      <w:r w:rsidRPr="008132E3">
        <w:rPr>
          <w:sz w:val="24"/>
          <w:szCs w:val="24"/>
        </w:rPr>
        <w:t xml:space="preserve"> These laws are designed to inform and educate young football players</w:t>
      </w:r>
      <w:r>
        <w:rPr>
          <w:sz w:val="24"/>
          <w:szCs w:val="24"/>
        </w:rPr>
        <w:t xml:space="preserve"> and</w:t>
      </w:r>
      <w:r w:rsidRPr="008132E3">
        <w:rPr>
          <w:sz w:val="24"/>
          <w:szCs w:val="24"/>
        </w:rPr>
        <w:t xml:space="preserve"> their parents or guardians, and includes a requirement that forces players to sign a concussion information form.</w:t>
      </w:r>
      <w:r>
        <w:rPr>
          <w:rStyle w:val="FootnoteReference"/>
          <w:sz w:val="24"/>
          <w:szCs w:val="24"/>
        </w:rPr>
        <w:footnoteReference w:id="140"/>
      </w:r>
      <w:r w:rsidRPr="008132E3">
        <w:rPr>
          <w:sz w:val="24"/>
          <w:szCs w:val="24"/>
        </w:rPr>
        <w:t xml:space="preserve"> Additionally, this legislation requires youth football players who appear to have suffered a concussion </w:t>
      </w:r>
      <w:r>
        <w:rPr>
          <w:sz w:val="24"/>
          <w:szCs w:val="24"/>
        </w:rPr>
        <w:t>to be immediately removed from a game.</w:t>
      </w:r>
      <w:r>
        <w:rPr>
          <w:rStyle w:val="FootnoteReference"/>
          <w:sz w:val="24"/>
          <w:szCs w:val="24"/>
        </w:rPr>
        <w:footnoteReference w:id="141"/>
      </w:r>
      <w:r>
        <w:rPr>
          <w:sz w:val="24"/>
          <w:szCs w:val="24"/>
        </w:rPr>
        <w:t xml:space="preserve"> In addition, this legislation requires </w:t>
      </w:r>
      <w:r w:rsidRPr="008132E3">
        <w:rPr>
          <w:sz w:val="24"/>
          <w:szCs w:val="24"/>
        </w:rPr>
        <w:t>that the player be cleared by trained health professionals in the field of concussions</w:t>
      </w:r>
      <w:r>
        <w:rPr>
          <w:sz w:val="24"/>
          <w:szCs w:val="24"/>
        </w:rPr>
        <w:t xml:space="preserve"> before returning</w:t>
      </w:r>
      <w:r w:rsidRPr="008132E3">
        <w:rPr>
          <w:sz w:val="24"/>
          <w:szCs w:val="24"/>
        </w:rPr>
        <w:t>.</w:t>
      </w:r>
      <w:r>
        <w:rPr>
          <w:rStyle w:val="FootnoteReference"/>
          <w:sz w:val="24"/>
          <w:szCs w:val="24"/>
        </w:rPr>
        <w:footnoteReference w:id="142"/>
      </w:r>
      <w:r w:rsidRPr="008132E3">
        <w:rPr>
          <w:sz w:val="24"/>
          <w:szCs w:val="24"/>
        </w:rPr>
        <w:t xml:space="preserve"> </w:t>
      </w:r>
    </w:p>
    <w:p w14:paraId="7D909A28" w14:textId="77777777" w:rsidR="005B4449" w:rsidRPr="008132E3" w:rsidRDefault="005B4449" w:rsidP="00E021FB">
      <w:pPr>
        <w:pStyle w:val="NormalWeb"/>
        <w:ind w:firstLine="720"/>
        <w:contextualSpacing/>
        <w:jc w:val="both"/>
        <w:textAlignment w:val="baseline"/>
        <w:rPr>
          <w:sz w:val="24"/>
          <w:szCs w:val="24"/>
        </w:rPr>
      </w:pPr>
      <w:r>
        <w:rPr>
          <w:sz w:val="24"/>
          <w:szCs w:val="24"/>
        </w:rPr>
        <w:t>I</w:t>
      </w:r>
      <w:r w:rsidRPr="008132E3">
        <w:rPr>
          <w:sz w:val="24"/>
          <w:szCs w:val="24"/>
        </w:rPr>
        <w:t>n response to the concussion epidemic in the NFL, society and popular culture ha</w:t>
      </w:r>
      <w:r>
        <w:rPr>
          <w:sz w:val="24"/>
          <w:szCs w:val="24"/>
        </w:rPr>
        <w:t>ve</w:t>
      </w:r>
      <w:r w:rsidRPr="008132E3">
        <w:rPr>
          <w:sz w:val="24"/>
          <w:szCs w:val="24"/>
        </w:rPr>
        <w:t xml:space="preserve"> played a role in bringing awareness to the public about the crisis.</w:t>
      </w:r>
      <w:r>
        <w:rPr>
          <w:rStyle w:val="FootnoteReference"/>
          <w:sz w:val="24"/>
          <w:szCs w:val="24"/>
        </w:rPr>
        <w:footnoteReference w:id="143"/>
      </w:r>
      <w:r w:rsidRPr="008132E3">
        <w:rPr>
          <w:sz w:val="24"/>
          <w:szCs w:val="24"/>
        </w:rPr>
        <w:t xml:space="preserve"> For example, a major motion picture starring actor Will Smith </w:t>
      </w:r>
      <w:r>
        <w:rPr>
          <w:sz w:val="24"/>
          <w:szCs w:val="24"/>
        </w:rPr>
        <w:t>en</w:t>
      </w:r>
      <w:r w:rsidRPr="008132E3">
        <w:rPr>
          <w:sz w:val="24"/>
          <w:szCs w:val="24"/>
        </w:rPr>
        <w:t>titled “Concussion” was released</w:t>
      </w:r>
      <w:r>
        <w:rPr>
          <w:sz w:val="24"/>
          <w:szCs w:val="24"/>
        </w:rPr>
        <w:t>,</w:t>
      </w:r>
      <w:r w:rsidRPr="008132E3">
        <w:rPr>
          <w:sz w:val="24"/>
          <w:szCs w:val="24"/>
        </w:rPr>
        <w:t xml:space="preserve"> which played a role in educating and warning viewers about the long-term health risks and brain damage that one can suffer from playing football.</w:t>
      </w:r>
      <w:r>
        <w:rPr>
          <w:rStyle w:val="FootnoteReference"/>
          <w:sz w:val="24"/>
          <w:szCs w:val="24"/>
        </w:rPr>
        <w:footnoteReference w:id="144"/>
      </w:r>
      <w:r w:rsidRPr="008132E3">
        <w:rPr>
          <w:sz w:val="24"/>
          <w:szCs w:val="24"/>
        </w:rPr>
        <w:t xml:space="preserve"> Additionally, with widespread access to media and sports-talk radio available to individuals through </w:t>
      </w:r>
      <w:r>
        <w:rPr>
          <w:sz w:val="24"/>
          <w:szCs w:val="24"/>
        </w:rPr>
        <w:t>television and other media outlets</w:t>
      </w:r>
      <w:r w:rsidRPr="008132E3">
        <w:rPr>
          <w:sz w:val="24"/>
          <w:szCs w:val="24"/>
        </w:rPr>
        <w:t>, the rampant dialogue between sportscasters, players and analysts on channels such as ESPN has brought large-scale public awareness to the CTE issue.</w:t>
      </w:r>
      <w:r>
        <w:rPr>
          <w:rStyle w:val="FootnoteReference"/>
          <w:sz w:val="24"/>
          <w:szCs w:val="24"/>
        </w:rPr>
        <w:footnoteReference w:id="145"/>
      </w:r>
      <w:r w:rsidRPr="008132E3">
        <w:rPr>
          <w:sz w:val="24"/>
          <w:szCs w:val="24"/>
        </w:rPr>
        <w:t xml:space="preserve"> </w:t>
      </w:r>
    </w:p>
    <w:p w14:paraId="28B482D8" w14:textId="3A06D9AD" w:rsidR="005B4449" w:rsidRDefault="005B4449" w:rsidP="00E021FB">
      <w:pPr>
        <w:pStyle w:val="NormalWeb"/>
        <w:ind w:firstLine="720"/>
        <w:contextualSpacing/>
        <w:jc w:val="both"/>
        <w:textAlignment w:val="baseline"/>
        <w:rPr>
          <w:sz w:val="24"/>
          <w:szCs w:val="24"/>
        </w:rPr>
      </w:pPr>
      <w:r w:rsidRPr="008132E3">
        <w:rPr>
          <w:sz w:val="24"/>
          <w:szCs w:val="24"/>
        </w:rPr>
        <w:t xml:space="preserve">This increasing </w:t>
      </w:r>
      <w:r>
        <w:rPr>
          <w:sz w:val="24"/>
          <w:szCs w:val="24"/>
        </w:rPr>
        <w:t xml:space="preserve">societal </w:t>
      </w:r>
      <w:r w:rsidRPr="008132E3">
        <w:rPr>
          <w:sz w:val="24"/>
          <w:szCs w:val="24"/>
        </w:rPr>
        <w:t>awareness has resulted in severe pressure being mounted on the shoulders of the NFL to prevent concussions from taking place on its fields and to increase player safety.</w:t>
      </w:r>
      <w:r>
        <w:rPr>
          <w:rStyle w:val="FootnoteReference"/>
          <w:sz w:val="24"/>
          <w:szCs w:val="24"/>
        </w:rPr>
        <w:footnoteReference w:id="146"/>
      </w:r>
      <w:r w:rsidRPr="008132E3">
        <w:rPr>
          <w:sz w:val="24"/>
          <w:szCs w:val="24"/>
        </w:rPr>
        <w:t xml:space="preserve">  This </w:t>
      </w:r>
      <w:r>
        <w:rPr>
          <w:sz w:val="24"/>
          <w:szCs w:val="24"/>
        </w:rPr>
        <w:t xml:space="preserve">approach, of </w:t>
      </w:r>
      <w:r w:rsidRPr="008132E3">
        <w:rPr>
          <w:sz w:val="24"/>
          <w:szCs w:val="24"/>
        </w:rPr>
        <w:t>public awareness and public pressure</w:t>
      </w:r>
      <w:r>
        <w:rPr>
          <w:sz w:val="24"/>
          <w:szCs w:val="24"/>
        </w:rPr>
        <w:t>,</w:t>
      </w:r>
      <w:r w:rsidRPr="008132E3">
        <w:rPr>
          <w:sz w:val="24"/>
          <w:szCs w:val="24"/>
        </w:rPr>
        <w:t xml:space="preserve"> has resulted in the NFL refining and increasing the effectiveness of its concussion protocols</w:t>
      </w:r>
      <w:r>
        <w:rPr>
          <w:sz w:val="24"/>
          <w:szCs w:val="24"/>
        </w:rPr>
        <w:t>,</w:t>
      </w:r>
      <w:r w:rsidRPr="008132E3">
        <w:rPr>
          <w:sz w:val="24"/>
          <w:szCs w:val="24"/>
        </w:rPr>
        <w:t xml:space="preserve"> which is clearly a positive sign for the </w:t>
      </w:r>
      <w:r w:rsidRPr="008132E3">
        <w:rPr>
          <w:sz w:val="24"/>
          <w:szCs w:val="24"/>
        </w:rPr>
        <w:lastRenderedPageBreak/>
        <w:t>game moving forward.</w:t>
      </w:r>
      <w:r>
        <w:rPr>
          <w:rStyle w:val="FootnoteReference"/>
          <w:sz w:val="24"/>
          <w:szCs w:val="24"/>
        </w:rPr>
        <w:footnoteReference w:id="147"/>
      </w:r>
      <w:r w:rsidRPr="008132E3">
        <w:rPr>
          <w:sz w:val="24"/>
          <w:szCs w:val="24"/>
        </w:rPr>
        <w:t xml:space="preserve"> In the most recent 2019 NFL season, there were 145 reported concussions in the regular season </w:t>
      </w:r>
      <w:r>
        <w:rPr>
          <w:sz w:val="24"/>
          <w:szCs w:val="24"/>
        </w:rPr>
        <w:t>compared</w:t>
      </w:r>
      <w:r w:rsidRPr="008132E3">
        <w:rPr>
          <w:sz w:val="24"/>
          <w:szCs w:val="24"/>
        </w:rPr>
        <w:t xml:space="preserve"> to 190 reported concussions just two years prior in the 2017 season.</w:t>
      </w:r>
      <w:r>
        <w:rPr>
          <w:rStyle w:val="FootnoteReference"/>
          <w:sz w:val="24"/>
          <w:szCs w:val="24"/>
        </w:rPr>
        <w:footnoteReference w:id="148"/>
      </w:r>
      <w:r w:rsidRPr="008132E3">
        <w:rPr>
          <w:sz w:val="24"/>
          <w:szCs w:val="24"/>
        </w:rPr>
        <w:t xml:space="preserve"> Although the problem has not been eradicated completely, the </w:t>
      </w:r>
      <w:r>
        <w:rPr>
          <w:sz w:val="24"/>
          <w:szCs w:val="24"/>
        </w:rPr>
        <w:t xml:space="preserve">NFL’s </w:t>
      </w:r>
      <w:r w:rsidRPr="008132E3">
        <w:rPr>
          <w:sz w:val="24"/>
          <w:szCs w:val="24"/>
        </w:rPr>
        <w:t>changes in protocol and player safety requirements by the NFL seem to be trending in the right direction.</w:t>
      </w:r>
      <w:r>
        <w:rPr>
          <w:rStyle w:val="FootnoteReference"/>
          <w:sz w:val="24"/>
          <w:szCs w:val="24"/>
        </w:rPr>
        <w:footnoteReference w:id="149"/>
      </w:r>
    </w:p>
    <w:p w14:paraId="33D985A9" w14:textId="77777777" w:rsidR="00E021FB" w:rsidRDefault="00E021FB" w:rsidP="00E021FB">
      <w:pPr>
        <w:pStyle w:val="NormalWeb"/>
        <w:ind w:firstLine="720"/>
        <w:contextualSpacing/>
        <w:jc w:val="both"/>
        <w:textAlignment w:val="baseline"/>
        <w:rPr>
          <w:sz w:val="24"/>
          <w:szCs w:val="24"/>
        </w:rPr>
      </w:pPr>
    </w:p>
    <w:p w14:paraId="001DF823" w14:textId="49DAA0EC" w:rsidR="00117EBC" w:rsidRPr="005C6C3F" w:rsidRDefault="00117EBC" w:rsidP="00E021FB">
      <w:pPr>
        <w:pStyle w:val="NormalWeb"/>
        <w:numPr>
          <w:ilvl w:val="0"/>
          <w:numId w:val="7"/>
        </w:numPr>
        <w:ind w:left="0" w:firstLine="0"/>
        <w:contextualSpacing/>
        <w:jc w:val="center"/>
        <w:textAlignment w:val="baseline"/>
        <w:rPr>
          <w:b/>
          <w:bCs/>
          <w:smallCaps/>
          <w:sz w:val="24"/>
          <w:szCs w:val="24"/>
        </w:rPr>
      </w:pPr>
      <w:r w:rsidRPr="005C6C3F">
        <w:rPr>
          <w:b/>
          <w:bCs/>
          <w:smallCaps/>
          <w:sz w:val="24"/>
          <w:szCs w:val="24"/>
        </w:rPr>
        <w:t>The Solution: Applying These Principles to Painkiller Abuse in the NFL</w:t>
      </w:r>
    </w:p>
    <w:p w14:paraId="618CD212" w14:textId="77777777" w:rsidR="00E021FB" w:rsidRDefault="00E021FB" w:rsidP="00E021FB">
      <w:pPr>
        <w:pStyle w:val="NormalWeb"/>
        <w:ind w:firstLine="720"/>
        <w:contextualSpacing/>
        <w:jc w:val="both"/>
        <w:textAlignment w:val="baseline"/>
        <w:rPr>
          <w:sz w:val="24"/>
          <w:szCs w:val="24"/>
        </w:rPr>
      </w:pPr>
    </w:p>
    <w:p w14:paraId="18C4F8E3" w14:textId="41547EAF" w:rsidR="00117EBC" w:rsidRPr="008132E3" w:rsidRDefault="00A970B8" w:rsidP="00E021FB">
      <w:pPr>
        <w:pStyle w:val="NormalWeb"/>
        <w:ind w:firstLine="720"/>
        <w:contextualSpacing/>
        <w:jc w:val="both"/>
        <w:textAlignment w:val="baseline"/>
        <w:rPr>
          <w:sz w:val="24"/>
          <w:szCs w:val="24"/>
        </w:rPr>
      </w:pPr>
      <w:r>
        <w:rPr>
          <w:sz w:val="24"/>
          <w:szCs w:val="24"/>
        </w:rPr>
        <w:t>T</w:t>
      </w:r>
      <w:r w:rsidR="00117EBC" w:rsidRPr="008132E3">
        <w:rPr>
          <w:sz w:val="24"/>
          <w:szCs w:val="24"/>
        </w:rPr>
        <w:t xml:space="preserve">he most appropriate and realistic remedy for this ongoing problem would be to take legislative action and spread cultural awareness that can help prevent these dangerous prescription practices from taking place in the future. Due to the similarities between the NFL’s opioid problem and concussion crisis </w:t>
      </w:r>
      <w:r w:rsidR="00117EBC">
        <w:rPr>
          <w:sz w:val="24"/>
          <w:szCs w:val="24"/>
        </w:rPr>
        <w:t>concerning</w:t>
      </w:r>
      <w:r w:rsidR="00117EBC" w:rsidRPr="008132E3">
        <w:rPr>
          <w:sz w:val="24"/>
          <w:szCs w:val="24"/>
        </w:rPr>
        <w:t xml:space="preserve"> lack of viable relief for former players, and the potential lifelong harm associated with playing in the NFL, the appropriate solution here should be taken from the playbook that was established in response to the NFL’s concussion crisis. </w:t>
      </w:r>
    </w:p>
    <w:p w14:paraId="578CC959" w14:textId="31E36063" w:rsidR="00117EBC" w:rsidRPr="008132E3" w:rsidRDefault="00117EBC" w:rsidP="00E021FB">
      <w:pPr>
        <w:pStyle w:val="NormalWeb"/>
        <w:ind w:firstLine="720"/>
        <w:contextualSpacing/>
        <w:jc w:val="both"/>
        <w:textAlignment w:val="baseline"/>
        <w:rPr>
          <w:sz w:val="24"/>
          <w:szCs w:val="24"/>
        </w:rPr>
      </w:pPr>
      <w:r w:rsidRPr="008132E3">
        <w:rPr>
          <w:sz w:val="24"/>
          <w:szCs w:val="24"/>
        </w:rPr>
        <w:t xml:space="preserve">First, like the </w:t>
      </w:r>
      <w:r w:rsidR="00EB1E42">
        <w:rPr>
          <w:sz w:val="24"/>
          <w:szCs w:val="24"/>
        </w:rPr>
        <w:t>forty-eight</w:t>
      </w:r>
      <w:r w:rsidRPr="008132E3">
        <w:rPr>
          <w:sz w:val="24"/>
          <w:szCs w:val="24"/>
        </w:rPr>
        <w:t xml:space="preserve"> states that implemented and passed legislation that spread</w:t>
      </w:r>
      <w:r w:rsidR="00697E8A">
        <w:rPr>
          <w:sz w:val="24"/>
          <w:szCs w:val="24"/>
        </w:rPr>
        <w:t xml:space="preserve"> </w:t>
      </w:r>
      <w:r w:rsidRPr="008132E3">
        <w:rPr>
          <w:sz w:val="24"/>
          <w:szCs w:val="24"/>
        </w:rPr>
        <w:t>awareness pertaining to the dangers of concussions in football</w:t>
      </w:r>
      <w:r w:rsidR="00697E8A">
        <w:rPr>
          <w:sz w:val="24"/>
          <w:szCs w:val="24"/>
        </w:rPr>
        <w:t xml:space="preserve"> and enforced mandatory standards regarding concussion protocols for players at all levels</w:t>
      </w:r>
      <w:r w:rsidRPr="008132E3">
        <w:rPr>
          <w:sz w:val="24"/>
          <w:szCs w:val="24"/>
        </w:rPr>
        <w:t>, an appropriate measure to take in response to the opioid problem in the NFL would be for states to take action in the form of legislation to spread awareness of the dangers of opioids and to set clear guidelines for appropriate prescribing practices for sports</w:t>
      </w:r>
      <w:r>
        <w:rPr>
          <w:sz w:val="24"/>
          <w:szCs w:val="24"/>
        </w:rPr>
        <w:t>-</w:t>
      </w:r>
      <w:r w:rsidRPr="008132E3">
        <w:rPr>
          <w:sz w:val="24"/>
          <w:szCs w:val="24"/>
        </w:rPr>
        <w:t xml:space="preserve">related injuries. Although legal claims against the NFL for violations of this proposed legislation may be preempted by </w:t>
      </w:r>
      <w:r w:rsidR="00A175D2">
        <w:rPr>
          <w:sz w:val="24"/>
          <w:szCs w:val="24"/>
        </w:rPr>
        <w:t>Section 301</w:t>
      </w:r>
      <w:r w:rsidRPr="008132E3">
        <w:rPr>
          <w:sz w:val="24"/>
          <w:szCs w:val="24"/>
        </w:rPr>
        <w:t xml:space="preserve"> of the LMRA, these standards would set hard and fast guidelines for non-team physicians for all other levels of sports ranging from youth leagues to college athletics. Additionally, this would help inform the public of the threats that opioids and painkillers pose to young athletes across the country.</w:t>
      </w:r>
    </w:p>
    <w:p w14:paraId="4F153BF8" w14:textId="77777777" w:rsidR="00117EBC" w:rsidRPr="008132E3" w:rsidRDefault="00117EBC" w:rsidP="00E021FB">
      <w:pPr>
        <w:pStyle w:val="NormalWeb"/>
        <w:ind w:firstLine="720"/>
        <w:contextualSpacing/>
        <w:jc w:val="both"/>
        <w:textAlignment w:val="baseline"/>
        <w:rPr>
          <w:sz w:val="24"/>
          <w:szCs w:val="24"/>
        </w:rPr>
      </w:pPr>
      <w:r w:rsidRPr="008132E3">
        <w:rPr>
          <w:sz w:val="24"/>
          <w:szCs w:val="24"/>
        </w:rPr>
        <w:t xml:space="preserve">Next, </w:t>
      </w:r>
      <w:proofErr w:type="gramStart"/>
      <w:r w:rsidRPr="008132E3">
        <w:rPr>
          <w:sz w:val="24"/>
          <w:szCs w:val="24"/>
        </w:rPr>
        <w:t>similar to</w:t>
      </w:r>
      <w:proofErr w:type="gramEnd"/>
      <w:r w:rsidRPr="008132E3">
        <w:rPr>
          <w:sz w:val="24"/>
          <w:szCs w:val="24"/>
        </w:rPr>
        <w:t xml:space="preserve"> the cultural awareness movement that took place relating to the NFL’s concussion crisis through the constant discussions on media </w:t>
      </w:r>
      <w:r>
        <w:rPr>
          <w:sz w:val="24"/>
          <w:szCs w:val="24"/>
        </w:rPr>
        <w:t xml:space="preserve">platforms </w:t>
      </w:r>
      <w:r w:rsidRPr="008132E3">
        <w:rPr>
          <w:sz w:val="24"/>
          <w:szCs w:val="24"/>
        </w:rPr>
        <w:t>and major motion picture films, an appropriate solution to combat the NFL’s painkiller addiction problem is to raise cultural awareness of the threats that opioid addiction pose</w:t>
      </w:r>
      <w:r>
        <w:rPr>
          <w:sz w:val="24"/>
          <w:szCs w:val="24"/>
        </w:rPr>
        <w:t>s</w:t>
      </w:r>
      <w:r w:rsidRPr="008132E3">
        <w:rPr>
          <w:sz w:val="24"/>
          <w:szCs w:val="24"/>
        </w:rPr>
        <w:t xml:space="preserve"> on former, current and future NFL players. </w:t>
      </w:r>
      <w:r w:rsidRPr="008132E3">
        <w:rPr>
          <w:sz w:val="24"/>
          <w:szCs w:val="24"/>
        </w:rPr>
        <w:lastRenderedPageBreak/>
        <w:t xml:space="preserve">Specifically, </w:t>
      </w:r>
      <w:r>
        <w:rPr>
          <w:sz w:val="24"/>
          <w:szCs w:val="24"/>
        </w:rPr>
        <w:t>as</w:t>
      </w:r>
      <w:r w:rsidRPr="008132E3">
        <w:rPr>
          <w:sz w:val="24"/>
          <w:szCs w:val="24"/>
        </w:rPr>
        <w:t xml:space="preserve"> former players who came forward and spoke out </w:t>
      </w:r>
      <w:r>
        <w:rPr>
          <w:sz w:val="24"/>
          <w:szCs w:val="24"/>
        </w:rPr>
        <w:t>about</w:t>
      </w:r>
      <w:r w:rsidRPr="008132E3">
        <w:rPr>
          <w:sz w:val="24"/>
          <w:szCs w:val="24"/>
        </w:rPr>
        <w:t xml:space="preserve"> concussion trauma and CTE in the NFL</w:t>
      </w:r>
      <w:r>
        <w:rPr>
          <w:sz w:val="24"/>
          <w:szCs w:val="24"/>
        </w:rPr>
        <w:t>,</w:t>
      </w:r>
      <w:r w:rsidRPr="008132E3">
        <w:rPr>
          <w:sz w:val="24"/>
          <w:szCs w:val="24"/>
        </w:rPr>
        <w:t xml:space="preserve"> </w:t>
      </w:r>
      <w:r>
        <w:rPr>
          <w:sz w:val="24"/>
          <w:szCs w:val="24"/>
        </w:rPr>
        <w:t xml:space="preserve">which resulted in </w:t>
      </w:r>
      <w:r w:rsidRPr="008132E3">
        <w:rPr>
          <w:sz w:val="24"/>
          <w:szCs w:val="24"/>
        </w:rPr>
        <w:t>a media frenzy, current players who are experiencing or witnessing these prescription practices first</w:t>
      </w:r>
      <w:r>
        <w:rPr>
          <w:sz w:val="24"/>
          <w:szCs w:val="24"/>
        </w:rPr>
        <w:t>-</w:t>
      </w:r>
      <w:r w:rsidRPr="008132E3">
        <w:rPr>
          <w:sz w:val="24"/>
          <w:szCs w:val="24"/>
        </w:rPr>
        <w:t xml:space="preserve">hand </w:t>
      </w:r>
      <w:r>
        <w:rPr>
          <w:sz w:val="24"/>
          <w:szCs w:val="24"/>
        </w:rPr>
        <w:t xml:space="preserve">should similarly </w:t>
      </w:r>
      <w:r w:rsidRPr="008132E3">
        <w:rPr>
          <w:sz w:val="24"/>
          <w:szCs w:val="24"/>
        </w:rPr>
        <w:t>use their platforms to bring awareness to the issue</w:t>
      </w:r>
      <w:r>
        <w:rPr>
          <w:sz w:val="24"/>
          <w:szCs w:val="24"/>
        </w:rPr>
        <w:t>. This would likely lead to an increase in media coverage of this issue that would shed light on this glaring problem.</w:t>
      </w:r>
    </w:p>
    <w:p w14:paraId="64C418FF" w14:textId="77777777" w:rsidR="00E021FB" w:rsidRDefault="00117EBC" w:rsidP="00E021FB">
      <w:pPr>
        <w:pStyle w:val="NormalWeb"/>
        <w:ind w:firstLine="720"/>
        <w:contextualSpacing/>
        <w:jc w:val="both"/>
        <w:textAlignment w:val="baseline"/>
        <w:rPr>
          <w:sz w:val="24"/>
          <w:szCs w:val="24"/>
        </w:rPr>
      </w:pPr>
      <w:r w:rsidRPr="008132E3">
        <w:rPr>
          <w:sz w:val="24"/>
          <w:szCs w:val="24"/>
        </w:rPr>
        <w:t xml:space="preserve">Further, like the public pressure from the concussion crisis </w:t>
      </w:r>
      <w:r>
        <w:rPr>
          <w:sz w:val="24"/>
          <w:szCs w:val="24"/>
        </w:rPr>
        <w:t xml:space="preserve">that </w:t>
      </w:r>
      <w:r w:rsidRPr="008132E3">
        <w:rPr>
          <w:sz w:val="24"/>
          <w:szCs w:val="24"/>
        </w:rPr>
        <w:t>forced the NFL to update and improve its concussion protocols and procedures</w:t>
      </w:r>
      <w:r>
        <w:rPr>
          <w:sz w:val="24"/>
          <w:szCs w:val="24"/>
        </w:rPr>
        <w:t xml:space="preserve"> </w:t>
      </w:r>
      <w:r w:rsidRPr="008132E3">
        <w:rPr>
          <w:sz w:val="24"/>
          <w:szCs w:val="24"/>
        </w:rPr>
        <w:t xml:space="preserve">which ultimately led to a decrease in concussions on a per year basis, this increased public awareness would likely lead to an increase </w:t>
      </w:r>
      <w:r>
        <w:rPr>
          <w:sz w:val="24"/>
          <w:szCs w:val="24"/>
        </w:rPr>
        <w:t xml:space="preserve">in </w:t>
      </w:r>
      <w:r w:rsidRPr="008132E3">
        <w:rPr>
          <w:sz w:val="24"/>
          <w:szCs w:val="24"/>
        </w:rPr>
        <w:t xml:space="preserve">public pressure on the NFL to improve its protocols and procedures </w:t>
      </w:r>
      <w:r>
        <w:rPr>
          <w:sz w:val="24"/>
          <w:szCs w:val="24"/>
        </w:rPr>
        <w:t>regarding</w:t>
      </w:r>
      <w:r w:rsidRPr="008132E3">
        <w:rPr>
          <w:sz w:val="24"/>
          <w:szCs w:val="24"/>
        </w:rPr>
        <w:t xml:space="preserve"> proscribing painkillers to players </w:t>
      </w:r>
      <w:r>
        <w:rPr>
          <w:sz w:val="24"/>
          <w:szCs w:val="24"/>
        </w:rPr>
        <w:t>which</w:t>
      </w:r>
      <w:r w:rsidRPr="008132E3">
        <w:rPr>
          <w:sz w:val="24"/>
          <w:szCs w:val="24"/>
        </w:rPr>
        <w:t xml:space="preserve"> would likely also lead to a decrease in the </w:t>
      </w:r>
      <w:r>
        <w:rPr>
          <w:sz w:val="24"/>
          <w:szCs w:val="24"/>
        </w:rPr>
        <w:t>number</w:t>
      </w:r>
      <w:r w:rsidRPr="008132E3">
        <w:rPr>
          <w:sz w:val="24"/>
          <w:szCs w:val="24"/>
        </w:rPr>
        <w:t xml:space="preserve"> of players who suffer from opioid addiction. </w:t>
      </w:r>
    </w:p>
    <w:p w14:paraId="350789F8" w14:textId="5F47E90A" w:rsidR="00117EBC" w:rsidRDefault="00117EBC" w:rsidP="00E021FB">
      <w:pPr>
        <w:pStyle w:val="NormalWeb"/>
        <w:ind w:firstLine="720"/>
        <w:contextualSpacing/>
        <w:jc w:val="both"/>
        <w:textAlignment w:val="baseline"/>
        <w:rPr>
          <w:sz w:val="24"/>
          <w:szCs w:val="24"/>
        </w:rPr>
      </w:pPr>
      <w:r>
        <w:rPr>
          <w:sz w:val="24"/>
          <w:szCs w:val="24"/>
        </w:rPr>
        <w:t>I</w:t>
      </w:r>
      <w:r w:rsidRPr="008132E3">
        <w:rPr>
          <w:sz w:val="24"/>
          <w:szCs w:val="24"/>
        </w:rPr>
        <w:t xml:space="preserve">t must be acknowledged that this proposed solution is unable to bring </w:t>
      </w:r>
      <w:r>
        <w:rPr>
          <w:sz w:val="24"/>
          <w:szCs w:val="24"/>
        </w:rPr>
        <w:t>complete</w:t>
      </w:r>
      <w:r w:rsidRPr="008132E3">
        <w:rPr>
          <w:sz w:val="24"/>
          <w:szCs w:val="24"/>
        </w:rPr>
        <w:t xml:space="preserve"> relief to the former players who</w:t>
      </w:r>
      <w:r>
        <w:rPr>
          <w:sz w:val="24"/>
          <w:szCs w:val="24"/>
        </w:rPr>
        <w:t xml:space="preserve"> are currently </w:t>
      </w:r>
      <w:r w:rsidRPr="008132E3">
        <w:rPr>
          <w:sz w:val="24"/>
          <w:szCs w:val="24"/>
        </w:rPr>
        <w:t>suffer</w:t>
      </w:r>
      <w:r>
        <w:rPr>
          <w:sz w:val="24"/>
          <w:szCs w:val="24"/>
        </w:rPr>
        <w:t>ing</w:t>
      </w:r>
      <w:r w:rsidRPr="008132E3">
        <w:rPr>
          <w:sz w:val="24"/>
          <w:szCs w:val="24"/>
        </w:rPr>
        <w:t xml:space="preserve"> from opioid addiction. However, by taking the issue out of the hands of the courts and giving it to the public and lawmakers, the proposed solution helps combat the continuance of this pestering problem for future generations. This solution w</w:t>
      </w:r>
      <w:r>
        <w:rPr>
          <w:sz w:val="24"/>
          <w:szCs w:val="24"/>
        </w:rPr>
        <w:t xml:space="preserve">ould </w:t>
      </w:r>
      <w:r w:rsidRPr="008132E3">
        <w:rPr>
          <w:sz w:val="24"/>
          <w:szCs w:val="24"/>
        </w:rPr>
        <w:t xml:space="preserve">lead to a future for football in which there are clear guidelines for the prescription of opioids to athletes on all levels, and a society that is willing to hold the NFL accountable for improperly engaging in these prescription practices. Ultimately, the passage of legislation mandating </w:t>
      </w:r>
      <w:r>
        <w:rPr>
          <w:sz w:val="24"/>
          <w:szCs w:val="24"/>
        </w:rPr>
        <w:t>specific</w:t>
      </w:r>
      <w:r w:rsidRPr="008132E3">
        <w:rPr>
          <w:sz w:val="24"/>
          <w:szCs w:val="24"/>
        </w:rPr>
        <w:t xml:space="preserve"> prescription requirements and the increase of cultural awareness </w:t>
      </w:r>
      <w:r>
        <w:rPr>
          <w:sz w:val="24"/>
          <w:szCs w:val="24"/>
        </w:rPr>
        <w:t>concerning</w:t>
      </w:r>
      <w:r w:rsidRPr="008132E3">
        <w:rPr>
          <w:sz w:val="24"/>
          <w:szCs w:val="24"/>
        </w:rPr>
        <w:t xml:space="preserve"> the NFL’s unethical practices will increase the amount of public pressure on the NFL and will force the NFL to rectify its prescription protocols, thus benefitting the future of the sport of football </w:t>
      </w:r>
      <w:proofErr w:type="gramStart"/>
      <w:r w:rsidRPr="008132E3">
        <w:rPr>
          <w:sz w:val="24"/>
          <w:szCs w:val="24"/>
        </w:rPr>
        <w:t>as a whole for</w:t>
      </w:r>
      <w:proofErr w:type="gramEnd"/>
      <w:r w:rsidRPr="008132E3">
        <w:rPr>
          <w:sz w:val="24"/>
          <w:szCs w:val="24"/>
        </w:rPr>
        <w:t xml:space="preserve"> years to come. </w:t>
      </w:r>
    </w:p>
    <w:p w14:paraId="7D44AE68" w14:textId="635C5A58" w:rsidR="00117EBC" w:rsidRPr="00752E51" w:rsidRDefault="00117EBC" w:rsidP="00E021FB">
      <w:pPr>
        <w:pStyle w:val="ListParagraph"/>
        <w:numPr>
          <w:ilvl w:val="0"/>
          <w:numId w:val="6"/>
        </w:numPr>
        <w:spacing w:before="100" w:beforeAutospacing="1" w:after="100" w:afterAutospacing="1"/>
        <w:ind w:left="0" w:firstLine="0"/>
        <w:jc w:val="center"/>
        <w:rPr>
          <w:rFonts w:cs="Times New Roman"/>
          <w:b/>
          <w:sz w:val="24"/>
          <w:szCs w:val="24"/>
        </w:rPr>
      </w:pPr>
      <w:r>
        <w:rPr>
          <w:b/>
          <w:bCs/>
          <w:smallCaps/>
          <w:sz w:val="24"/>
          <w:szCs w:val="24"/>
        </w:rPr>
        <w:t>Conclusion</w:t>
      </w:r>
    </w:p>
    <w:p w14:paraId="4EE3B847" w14:textId="77777777" w:rsidR="00117EBC" w:rsidRPr="008132E3" w:rsidRDefault="00117EBC" w:rsidP="00E021FB">
      <w:pPr>
        <w:pStyle w:val="NormalWeb"/>
        <w:ind w:firstLine="720"/>
        <w:contextualSpacing/>
        <w:jc w:val="both"/>
        <w:textAlignment w:val="baseline"/>
        <w:rPr>
          <w:sz w:val="24"/>
          <w:szCs w:val="24"/>
        </w:rPr>
      </w:pPr>
      <w:r w:rsidRPr="008132E3">
        <w:rPr>
          <w:bCs/>
          <w:sz w:val="24"/>
          <w:szCs w:val="24"/>
        </w:rPr>
        <w:t xml:space="preserve">Although beloved by a vast number of Americans, football is an extremely violent and physical game that unsurprisingly results in </w:t>
      </w:r>
      <w:r>
        <w:rPr>
          <w:bCs/>
          <w:sz w:val="24"/>
          <w:szCs w:val="24"/>
        </w:rPr>
        <w:t xml:space="preserve">a </w:t>
      </w:r>
      <w:r w:rsidRPr="008132E3">
        <w:rPr>
          <w:bCs/>
          <w:sz w:val="24"/>
          <w:szCs w:val="24"/>
        </w:rPr>
        <w:t xml:space="preserve">great deal of injuries for its players. </w:t>
      </w:r>
      <w:r>
        <w:rPr>
          <w:bCs/>
          <w:sz w:val="24"/>
          <w:szCs w:val="24"/>
        </w:rPr>
        <w:t xml:space="preserve">As a result, </w:t>
      </w:r>
      <w:r w:rsidRPr="008132E3">
        <w:rPr>
          <w:bCs/>
          <w:sz w:val="24"/>
          <w:szCs w:val="24"/>
        </w:rPr>
        <w:t xml:space="preserve">the NFL and its players have a long history of opioid abuse </w:t>
      </w:r>
      <w:r>
        <w:rPr>
          <w:bCs/>
          <w:sz w:val="24"/>
          <w:szCs w:val="24"/>
        </w:rPr>
        <w:t>stemming</w:t>
      </w:r>
      <w:r w:rsidRPr="008132E3">
        <w:rPr>
          <w:bCs/>
          <w:sz w:val="24"/>
          <w:szCs w:val="24"/>
        </w:rPr>
        <w:t xml:space="preserve"> from the administration of painkillers from team doctors to players </w:t>
      </w:r>
      <w:proofErr w:type="gramStart"/>
      <w:r w:rsidRPr="008132E3">
        <w:rPr>
          <w:bCs/>
          <w:sz w:val="24"/>
          <w:szCs w:val="24"/>
        </w:rPr>
        <w:t>in order to</w:t>
      </w:r>
      <w:proofErr w:type="gramEnd"/>
      <w:r w:rsidRPr="008132E3">
        <w:rPr>
          <w:bCs/>
          <w:sz w:val="24"/>
          <w:szCs w:val="24"/>
        </w:rPr>
        <w:t xml:space="preserve"> keep them on the field. This issue led to several class action lawsuits alleging the NFL was negligent in its administration of pain medications to its players. </w:t>
      </w:r>
      <w:proofErr w:type="gramStart"/>
      <w:r w:rsidRPr="008132E3">
        <w:rPr>
          <w:sz w:val="24"/>
          <w:szCs w:val="24"/>
        </w:rPr>
        <w:t>In light of</w:t>
      </w:r>
      <w:proofErr w:type="gramEnd"/>
      <w:r w:rsidRPr="008132E3">
        <w:rPr>
          <w:sz w:val="24"/>
          <w:szCs w:val="24"/>
        </w:rPr>
        <w:t xml:space="preserve"> the most recent decision in </w:t>
      </w:r>
      <w:r w:rsidRPr="00310A0B">
        <w:rPr>
          <w:i/>
          <w:iCs/>
          <w:sz w:val="24"/>
          <w:szCs w:val="24"/>
        </w:rPr>
        <w:t>Dent</w:t>
      </w:r>
      <w:r w:rsidRPr="008132E3">
        <w:rPr>
          <w:sz w:val="24"/>
          <w:szCs w:val="24"/>
        </w:rPr>
        <w:t xml:space="preserve">, it is not in the best interest of current and former players to seek legal remedies for their substance addictions and abuse. When analyzing the two alternative legal strategies that could still be </w:t>
      </w:r>
      <w:r w:rsidRPr="008132E3">
        <w:rPr>
          <w:sz w:val="24"/>
          <w:szCs w:val="24"/>
        </w:rPr>
        <w:lastRenderedPageBreak/>
        <w:t>pursued by current and former players with opioid addictions, the impracticalities and inefficienc</w:t>
      </w:r>
      <w:r>
        <w:rPr>
          <w:sz w:val="24"/>
          <w:szCs w:val="24"/>
        </w:rPr>
        <w:t>ies</w:t>
      </w:r>
      <w:r w:rsidRPr="008132E3">
        <w:rPr>
          <w:sz w:val="24"/>
          <w:szCs w:val="24"/>
        </w:rPr>
        <w:t xml:space="preserve"> that come with these theories</w:t>
      </w:r>
      <w:r>
        <w:rPr>
          <w:sz w:val="24"/>
          <w:szCs w:val="24"/>
        </w:rPr>
        <w:t>,</w:t>
      </w:r>
      <w:r w:rsidRPr="008132E3">
        <w:rPr>
          <w:sz w:val="24"/>
          <w:szCs w:val="24"/>
        </w:rPr>
        <w:t xml:space="preserve"> along with the cost of litigation</w:t>
      </w:r>
      <w:r>
        <w:rPr>
          <w:sz w:val="24"/>
          <w:szCs w:val="24"/>
        </w:rPr>
        <w:t>,</w:t>
      </w:r>
      <w:r w:rsidRPr="008132E3">
        <w:rPr>
          <w:sz w:val="24"/>
          <w:szCs w:val="24"/>
        </w:rPr>
        <w:t xml:space="preserve"> would weigh against the potential benefit that the players would receive if their attempts were successful.</w:t>
      </w:r>
    </w:p>
    <w:p w14:paraId="654AB231" w14:textId="51905BE5" w:rsidR="00731883" w:rsidRPr="00E021FB" w:rsidRDefault="00117EBC" w:rsidP="00E021FB">
      <w:pPr>
        <w:pStyle w:val="NormalWeb"/>
        <w:ind w:firstLine="720"/>
        <w:contextualSpacing/>
        <w:jc w:val="both"/>
        <w:textAlignment w:val="baseline"/>
        <w:rPr>
          <w:sz w:val="24"/>
          <w:szCs w:val="24"/>
        </w:rPr>
      </w:pPr>
      <w:r w:rsidRPr="008132E3">
        <w:rPr>
          <w:bCs/>
          <w:sz w:val="24"/>
          <w:szCs w:val="24"/>
        </w:rPr>
        <w:t xml:space="preserve">While there is not an appropriate monetary remedy for former players suffering </w:t>
      </w:r>
      <w:r>
        <w:rPr>
          <w:bCs/>
          <w:sz w:val="24"/>
          <w:szCs w:val="24"/>
        </w:rPr>
        <w:t>from</w:t>
      </w:r>
      <w:r w:rsidRPr="008132E3">
        <w:rPr>
          <w:bCs/>
          <w:sz w:val="24"/>
          <w:szCs w:val="24"/>
        </w:rPr>
        <w:t xml:space="preserve"> painkiller addictions, the long-term safety of current and future football players</w:t>
      </w:r>
      <w:r>
        <w:rPr>
          <w:bCs/>
          <w:sz w:val="24"/>
          <w:szCs w:val="24"/>
        </w:rPr>
        <w:t>,</w:t>
      </w:r>
      <w:r w:rsidRPr="008132E3">
        <w:rPr>
          <w:bCs/>
          <w:sz w:val="24"/>
          <w:szCs w:val="24"/>
        </w:rPr>
        <w:t xml:space="preserve"> as well as the integrity of the sport</w:t>
      </w:r>
      <w:r>
        <w:rPr>
          <w:bCs/>
          <w:sz w:val="24"/>
          <w:szCs w:val="24"/>
        </w:rPr>
        <w:t>,</w:t>
      </w:r>
      <w:r w:rsidRPr="008132E3">
        <w:rPr>
          <w:bCs/>
          <w:sz w:val="24"/>
          <w:szCs w:val="24"/>
        </w:rPr>
        <w:t xml:space="preserve"> can be saved if the players take this battle to state and federal legislatures while simultaneously promoting cultural awareness of the dangers that these prescription practices present to past, </w:t>
      </w:r>
      <w:proofErr w:type="gramStart"/>
      <w:r w:rsidRPr="008132E3">
        <w:rPr>
          <w:bCs/>
          <w:sz w:val="24"/>
          <w:szCs w:val="24"/>
        </w:rPr>
        <w:t>current</w:t>
      </w:r>
      <w:proofErr w:type="gramEnd"/>
      <w:r w:rsidRPr="008132E3">
        <w:rPr>
          <w:bCs/>
          <w:sz w:val="24"/>
          <w:szCs w:val="24"/>
        </w:rPr>
        <w:t xml:space="preserve"> and future football players.</w:t>
      </w:r>
    </w:p>
    <w:sectPr w:rsidR="00731883" w:rsidRPr="00E021FB" w:rsidSect="00E1387F">
      <w:headerReference w:type="even" r:id="rId8"/>
      <w:headerReference w:type="default" r:id="rId9"/>
      <w:headerReference w:type="first" r:id="rId10"/>
      <w:pgSz w:w="12240" w:h="15840"/>
      <w:pgMar w:top="2160" w:right="2880" w:bottom="1440" w:left="28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0023C" w14:textId="77777777" w:rsidR="00465285" w:rsidRDefault="00465285" w:rsidP="00117EBC">
      <w:r>
        <w:separator/>
      </w:r>
    </w:p>
  </w:endnote>
  <w:endnote w:type="continuationSeparator" w:id="0">
    <w:p w14:paraId="603AE4A5" w14:textId="77777777" w:rsidR="00465285" w:rsidRDefault="00465285" w:rsidP="0011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default"/>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D387B" w14:textId="77777777" w:rsidR="00465285" w:rsidRDefault="00465285" w:rsidP="00117EBC">
      <w:r>
        <w:separator/>
      </w:r>
    </w:p>
  </w:footnote>
  <w:footnote w:type="continuationSeparator" w:id="0">
    <w:p w14:paraId="5E40E0EF" w14:textId="77777777" w:rsidR="00465285" w:rsidRDefault="00465285" w:rsidP="00117EBC">
      <w:r>
        <w:continuationSeparator/>
      </w:r>
    </w:p>
  </w:footnote>
  <w:footnote w:id="1">
    <w:p w14:paraId="5A616633" w14:textId="4EFA2C34" w:rsidR="00A175D2" w:rsidRPr="00310C02" w:rsidRDefault="00A175D2" w:rsidP="00117EBC">
      <w:pPr>
        <w:pStyle w:val="FootnoteText"/>
        <w:rPr>
          <w:rFonts w:cs="Times New Roman"/>
          <w:sz w:val="18"/>
          <w:szCs w:val="18"/>
        </w:rPr>
      </w:pPr>
      <w:r w:rsidRPr="00310C02">
        <w:rPr>
          <w:rStyle w:val="FootnoteReference"/>
          <w:rFonts w:cs="Times New Roman"/>
          <w:sz w:val="18"/>
          <w:szCs w:val="18"/>
        </w:rPr>
        <w:footnoteRef/>
      </w:r>
      <w:r w:rsidRPr="00310C02">
        <w:rPr>
          <w:rFonts w:cs="Times New Roman"/>
          <w:sz w:val="18"/>
          <w:szCs w:val="18"/>
        </w:rPr>
        <w:t xml:space="preserve"> Matt Gonzales, </w:t>
      </w:r>
      <w:r w:rsidRPr="00310C02">
        <w:rPr>
          <w:rFonts w:cs="Times New Roman"/>
          <w:i/>
          <w:iCs/>
          <w:sz w:val="18"/>
          <w:szCs w:val="18"/>
        </w:rPr>
        <w:t>Opioids: A Painful Problem for the NFL</w:t>
      </w:r>
      <w:r w:rsidRPr="00310C02">
        <w:rPr>
          <w:rFonts w:cs="Times New Roman"/>
          <w:sz w:val="18"/>
          <w:szCs w:val="18"/>
        </w:rPr>
        <w:t xml:space="preserve">, </w:t>
      </w:r>
      <w:r w:rsidRPr="00310C02">
        <w:rPr>
          <w:rFonts w:cs="Times New Roman"/>
          <w:smallCaps/>
          <w:sz w:val="18"/>
          <w:szCs w:val="18"/>
        </w:rPr>
        <w:t xml:space="preserve">The Recovery Village </w:t>
      </w:r>
      <w:r w:rsidRPr="00310C02">
        <w:rPr>
          <w:rFonts w:cs="Times New Roman"/>
          <w:sz w:val="18"/>
          <w:szCs w:val="18"/>
        </w:rPr>
        <w:t xml:space="preserve">(Jan. 16, 2020), https://www.therecoveryvillage.com/opiate-addiction/related-topics/misuse-nfl/#gref. </w:t>
      </w:r>
    </w:p>
  </w:footnote>
  <w:footnote w:id="2">
    <w:p w14:paraId="659A85FF" w14:textId="77777777" w:rsidR="00A175D2" w:rsidRPr="00310C02" w:rsidRDefault="00A175D2" w:rsidP="00117EBC">
      <w:pPr>
        <w:pStyle w:val="FootnoteText"/>
        <w:rPr>
          <w:rFonts w:cs="Times New Roman"/>
          <w:sz w:val="18"/>
          <w:szCs w:val="18"/>
        </w:rPr>
      </w:pPr>
      <w:r w:rsidRPr="00310C02">
        <w:rPr>
          <w:rStyle w:val="FootnoteReference"/>
          <w:rFonts w:cs="Times New Roman"/>
          <w:sz w:val="18"/>
          <w:szCs w:val="18"/>
        </w:rPr>
        <w:footnoteRef/>
      </w:r>
      <w:r w:rsidRPr="00310C02">
        <w:rPr>
          <w:rFonts w:cs="Times New Roman"/>
          <w:sz w:val="18"/>
          <w:szCs w:val="18"/>
        </w:rPr>
        <w:t xml:space="preserve"> </w:t>
      </w:r>
      <w:r w:rsidRPr="00310C02">
        <w:rPr>
          <w:rFonts w:cs="Times New Roman"/>
          <w:i/>
          <w:iCs/>
          <w:sz w:val="18"/>
          <w:szCs w:val="18"/>
        </w:rPr>
        <w:t>Id.</w:t>
      </w:r>
    </w:p>
  </w:footnote>
  <w:footnote w:id="3">
    <w:p w14:paraId="74136ECF" w14:textId="77777777" w:rsidR="00A175D2" w:rsidRPr="00310C02" w:rsidRDefault="00A175D2" w:rsidP="00117EBC">
      <w:pPr>
        <w:pStyle w:val="FootnoteText"/>
        <w:rPr>
          <w:rFonts w:cs="Times New Roman"/>
          <w:sz w:val="18"/>
          <w:szCs w:val="18"/>
          <w:u w:val="single"/>
        </w:rPr>
      </w:pPr>
      <w:r w:rsidRPr="00310C02">
        <w:rPr>
          <w:rStyle w:val="FootnoteReference"/>
          <w:rFonts w:cs="Times New Roman"/>
          <w:sz w:val="18"/>
          <w:szCs w:val="18"/>
        </w:rPr>
        <w:footnoteRef/>
      </w:r>
      <w:r w:rsidRPr="00310C02">
        <w:rPr>
          <w:rFonts w:cs="Times New Roman"/>
          <w:sz w:val="18"/>
          <w:szCs w:val="18"/>
        </w:rPr>
        <w:t xml:space="preserve"> </w:t>
      </w:r>
      <w:r w:rsidRPr="00310C02">
        <w:rPr>
          <w:rFonts w:cs="Times New Roman"/>
          <w:i/>
          <w:iCs/>
          <w:sz w:val="18"/>
          <w:szCs w:val="18"/>
        </w:rPr>
        <w:t>Id.</w:t>
      </w:r>
    </w:p>
  </w:footnote>
  <w:footnote w:id="4">
    <w:p w14:paraId="288EFFF9" w14:textId="77777777" w:rsidR="00A175D2" w:rsidRPr="00310C02" w:rsidRDefault="00A175D2" w:rsidP="00117EBC">
      <w:pPr>
        <w:pStyle w:val="FootnoteText"/>
        <w:rPr>
          <w:rFonts w:cs="Times New Roman"/>
          <w:sz w:val="18"/>
          <w:szCs w:val="18"/>
          <w:u w:val="single"/>
        </w:rPr>
      </w:pPr>
      <w:r w:rsidRPr="00310C02">
        <w:rPr>
          <w:rStyle w:val="FootnoteReference"/>
          <w:rFonts w:cs="Times New Roman"/>
          <w:sz w:val="18"/>
          <w:szCs w:val="18"/>
        </w:rPr>
        <w:footnoteRef/>
      </w:r>
      <w:r w:rsidRPr="00310C02">
        <w:rPr>
          <w:rFonts w:cs="Times New Roman"/>
          <w:sz w:val="18"/>
          <w:szCs w:val="18"/>
        </w:rPr>
        <w:t xml:space="preserve"> </w:t>
      </w:r>
      <w:r w:rsidRPr="00310C02">
        <w:rPr>
          <w:rFonts w:cs="Times New Roman"/>
          <w:i/>
          <w:iCs/>
          <w:sz w:val="18"/>
          <w:szCs w:val="18"/>
        </w:rPr>
        <w:t>Id.</w:t>
      </w:r>
    </w:p>
  </w:footnote>
  <w:footnote w:id="5">
    <w:p w14:paraId="10FEC834" w14:textId="77777777" w:rsidR="00A175D2" w:rsidRPr="00310C02" w:rsidRDefault="00A175D2" w:rsidP="00117EBC">
      <w:pPr>
        <w:pStyle w:val="FootnoteText"/>
        <w:rPr>
          <w:rFonts w:cs="Times New Roman"/>
          <w:sz w:val="18"/>
          <w:szCs w:val="18"/>
        </w:rPr>
      </w:pPr>
      <w:r w:rsidRPr="00310C02">
        <w:rPr>
          <w:rStyle w:val="FootnoteReference"/>
          <w:rFonts w:cs="Times New Roman"/>
          <w:sz w:val="18"/>
          <w:szCs w:val="18"/>
        </w:rPr>
        <w:footnoteRef/>
      </w:r>
      <w:r w:rsidRPr="00310C02">
        <w:rPr>
          <w:rFonts w:cs="Times New Roman"/>
          <w:sz w:val="18"/>
          <w:szCs w:val="18"/>
        </w:rPr>
        <w:t xml:space="preserve"> </w:t>
      </w:r>
      <w:r w:rsidRPr="00310C02">
        <w:rPr>
          <w:rFonts w:cs="Times New Roman"/>
          <w:i/>
          <w:iCs/>
          <w:sz w:val="18"/>
          <w:szCs w:val="18"/>
        </w:rPr>
        <w:t>Id.</w:t>
      </w:r>
    </w:p>
  </w:footnote>
  <w:footnote w:id="6">
    <w:p w14:paraId="19533714" w14:textId="77777777" w:rsidR="00A175D2" w:rsidRPr="00310C02" w:rsidRDefault="00A175D2" w:rsidP="00117EBC">
      <w:pPr>
        <w:pStyle w:val="FootnoteText"/>
        <w:rPr>
          <w:i/>
          <w:iCs/>
          <w:sz w:val="18"/>
          <w:szCs w:val="18"/>
        </w:rPr>
      </w:pPr>
      <w:r w:rsidRPr="00310C02">
        <w:rPr>
          <w:rStyle w:val="FootnoteReference"/>
          <w:rFonts w:cs="Times New Roman"/>
          <w:sz w:val="18"/>
          <w:szCs w:val="18"/>
        </w:rPr>
        <w:footnoteRef/>
      </w:r>
      <w:r w:rsidRPr="00310C02">
        <w:rPr>
          <w:rFonts w:cs="Times New Roman"/>
          <w:sz w:val="18"/>
          <w:szCs w:val="18"/>
        </w:rPr>
        <w:t xml:space="preserve"> </w:t>
      </w:r>
      <w:r w:rsidRPr="00310C02">
        <w:rPr>
          <w:rFonts w:cs="Times New Roman"/>
          <w:i/>
          <w:iCs/>
          <w:sz w:val="18"/>
          <w:szCs w:val="18"/>
        </w:rPr>
        <w:t>Id.</w:t>
      </w:r>
    </w:p>
  </w:footnote>
  <w:footnote w:id="7">
    <w:p w14:paraId="2874B8FB" w14:textId="77777777" w:rsidR="00A175D2" w:rsidRPr="00310C02" w:rsidRDefault="00A175D2" w:rsidP="00117EBC">
      <w:pPr>
        <w:pStyle w:val="FootnoteText"/>
        <w:rPr>
          <w:rFonts w:cs="Times New Roman"/>
          <w:sz w:val="18"/>
          <w:szCs w:val="18"/>
        </w:rPr>
      </w:pPr>
      <w:r w:rsidRPr="00310C02">
        <w:rPr>
          <w:rStyle w:val="FootnoteReference"/>
          <w:rFonts w:cs="Times New Roman"/>
          <w:sz w:val="18"/>
          <w:szCs w:val="18"/>
        </w:rPr>
        <w:footnoteRef/>
      </w:r>
      <w:r w:rsidRPr="00310C02">
        <w:rPr>
          <w:rFonts w:cs="Times New Roman"/>
          <w:sz w:val="18"/>
          <w:szCs w:val="18"/>
        </w:rPr>
        <w:t xml:space="preserve"> </w:t>
      </w:r>
      <w:r w:rsidRPr="00310C02">
        <w:rPr>
          <w:rFonts w:cs="Times New Roman"/>
          <w:i/>
          <w:iCs/>
          <w:sz w:val="18"/>
          <w:szCs w:val="18"/>
        </w:rPr>
        <w:t>Id.</w:t>
      </w:r>
    </w:p>
  </w:footnote>
  <w:footnote w:id="8">
    <w:p w14:paraId="20E9504C" w14:textId="77777777" w:rsidR="00A175D2" w:rsidRPr="00310C02" w:rsidRDefault="00A175D2" w:rsidP="00117EBC">
      <w:pPr>
        <w:pStyle w:val="FootnoteText"/>
        <w:rPr>
          <w:rFonts w:cs="Times New Roman"/>
          <w:sz w:val="18"/>
          <w:szCs w:val="18"/>
        </w:rPr>
      </w:pPr>
      <w:r w:rsidRPr="00310C02">
        <w:rPr>
          <w:rStyle w:val="FootnoteReference"/>
          <w:rFonts w:cs="Times New Roman"/>
          <w:sz w:val="18"/>
          <w:szCs w:val="18"/>
        </w:rPr>
        <w:footnoteRef/>
      </w:r>
      <w:r w:rsidRPr="00310C02">
        <w:rPr>
          <w:rFonts w:cs="Times New Roman"/>
          <w:sz w:val="18"/>
          <w:szCs w:val="18"/>
        </w:rPr>
        <w:t xml:space="preserve"> </w:t>
      </w:r>
      <w:r w:rsidRPr="00310C02">
        <w:rPr>
          <w:rFonts w:cs="Times New Roman"/>
          <w:i/>
          <w:iCs/>
          <w:sz w:val="18"/>
          <w:szCs w:val="18"/>
        </w:rPr>
        <w:t>Id.</w:t>
      </w:r>
    </w:p>
  </w:footnote>
  <w:footnote w:id="9">
    <w:p w14:paraId="31BA48A7" w14:textId="77777777" w:rsidR="00A175D2" w:rsidRPr="00310C02" w:rsidRDefault="00A175D2" w:rsidP="00117EBC">
      <w:pPr>
        <w:pStyle w:val="FootnoteText"/>
        <w:rPr>
          <w:rFonts w:cs="Times New Roman"/>
          <w:sz w:val="18"/>
          <w:szCs w:val="18"/>
        </w:rPr>
      </w:pPr>
      <w:r w:rsidRPr="00310C02">
        <w:rPr>
          <w:rStyle w:val="FootnoteReference"/>
          <w:rFonts w:cs="Times New Roman"/>
          <w:sz w:val="18"/>
          <w:szCs w:val="18"/>
        </w:rPr>
        <w:footnoteRef/>
      </w:r>
      <w:r w:rsidRPr="00310C02">
        <w:rPr>
          <w:rFonts w:cs="Times New Roman"/>
          <w:sz w:val="18"/>
          <w:szCs w:val="18"/>
        </w:rPr>
        <w:t xml:space="preserve"> </w:t>
      </w:r>
      <w:r w:rsidRPr="00310C02">
        <w:rPr>
          <w:rFonts w:cs="Times New Roman"/>
          <w:i/>
          <w:iCs/>
          <w:sz w:val="18"/>
          <w:szCs w:val="18"/>
        </w:rPr>
        <w:t>Id.</w:t>
      </w:r>
    </w:p>
  </w:footnote>
  <w:footnote w:id="10">
    <w:p w14:paraId="52820EBA" w14:textId="77777777" w:rsidR="00A175D2" w:rsidRPr="00310C02" w:rsidRDefault="00A175D2" w:rsidP="00117EBC">
      <w:pPr>
        <w:pStyle w:val="FootnoteText"/>
        <w:rPr>
          <w:rFonts w:cs="Times New Roman"/>
          <w:sz w:val="18"/>
          <w:szCs w:val="18"/>
        </w:rPr>
      </w:pPr>
      <w:r w:rsidRPr="00310C02">
        <w:rPr>
          <w:rStyle w:val="FootnoteReference"/>
          <w:rFonts w:cs="Times New Roman"/>
          <w:sz w:val="18"/>
          <w:szCs w:val="18"/>
        </w:rPr>
        <w:footnoteRef/>
      </w:r>
      <w:r w:rsidRPr="00310C02">
        <w:rPr>
          <w:rFonts w:cs="Times New Roman"/>
          <w:sz w:val="18"/>
          <w:szCs w:val="18"/>
        </w:rPr>
        <w:t xml:space="preserve"> </w:t>
      </w:r>
      <w:r w:rsidRPr="00310C02">
        <w:rPr>
          <w:rFonts w:cs="Times New Roman"/>
          <w:i/>
          <w:iCs/>
          <w:sz w:val="18"/>
          <w:szCs w:val="18"/>
        </w:rPr>
        <w:t>Id.</w:t>
      </w:r>
    </w:p>
  </w:footnote>
  <w:footnote w:id="11">
    <w:p w14:paraId="627BCA2A" w14:textId="77777777" w:rsidR="00A175D2" w:rsidRPr="00310C02" w:rsidRDefault="00A175D2" w:rsidP="00117EBC">
      <w:pPr>
        <w:pStyle w:val="FootnoteText"/>
        <w:rPr>
          <w:rFonts w:cs="Times New Roman"/>
          <w:sz w:val="18"/>
          <w:szCs w:val="18"/>
        </w:rPr>
      </w:pPr>
      <w:r w:rsidRPr="00310C02">
        <w:rPr>
          <w:rStyle w:val="FootnoteReference"/>
          <w:rFonts w:cs="Times New Roman"/>
          <w:sz w:val="18"/>
          <w:szCs w:val="18"/>
        </w:rPr>
        <w:footnoteRef/>
      </w:r>
      <w:r w:rsidRPr="00310C02">
        <w:rPr>
          <w:rFonts w:cs="Times New Roman"/>
          <w:sz w:val="18"/>
          <w:szCs w:val="18"/>
        </w:rPr>
        <w:t xml:space="preserve"> </w:t>
      </w:r>
      <w:r w:rsidRPr="00310C02">
        <w:rPr>
          <w:rFonts w:cs="Times New Roman"/>
          <w:i/>
          <w:iCs/>
          <w:sz w:val="18"/>
          <w:szCs w:val="18"/>
        </w:rPr>
        <w:t>Id.</w:t>
      </w:r>
    </w:p>
  </w:footnote>
  <w:footnote w:id="12">
    <w:p w14:paraId="420789DF" w14:textId="77777777" w:rsidR="00A175D2" w:rsidRPr="00310C02" w:rsidRDefault="00A175D2" w:rsidP="00117EBC">
      <w:pPr>
        <w:pStyle w:val="FootnoteText"/>
        <w:rPr>
          <w:rFonts w:cs="Times New Roman"/>
          <w:sz w:val="18"/>
          <w:szCs w:val="18"/>
        </w:rPr>
      </w:pPr>
      <w:r w:rsidRPr="00310C02">
        <w:rPr>
          <w:rStyle w:val="FootnoteReference"/>
          <w:rFonts w:cs="Times New Roman"/>
          <w:sz w:val="18"/>
          <w:szCs w:val="18"/>
        </w:rPr>
        <w:footnoteRef/>
      </w:r>
      <w:r w:rsidRPr="00310C02">
        <w:rPr>
          <w:rFonts w:cs="Times New Roman"/>
          <w:sz w:val="18"/>
          <w:szCs w:val="18"/>
        </w:rPr>
        <w:t xml:space="preserve"> </w:t>
      </w:r>
      <w:r w:rsidRPr="00310C02">
        <w:rPr>
          <w:rFonts w:cs="Times New Roman"/>
          <w:i/>
          <w:iCs/>
          <w:sz w:val="18"/>
          <w:szCs w:val="18"/>
        </w:rPr>
        <w:t>Id.</w:t>
      </w:r>
    </w:p>
  </w:footnote>
  <w:footnote w:id="13">
    <w:p w14:paraId="3640F6F8" w14:textId="77777777" w:rsidR="00A175D2" w:rsidRPr="00310C02" w:rsidRDefault="00A175D2" w:rsidP="00117EBC">
      <w:pPr>
        <w:pStyle w:val="FootnoteText"/>
        <w:rPr>
          <w:rFonts w:cs="Times New Roman"/>
          <w:sz w:val="18"/>
          <w:szCs w:val="18"/>
        </w:rPr>
      </w:pPr>
      <w:r w:rsidRPr="00310C02">
        <w:rPr>
          <w:rStyle w:val="FootnoteReference"/>
          <w:rFonts w:cs="Times New Roman"/>
          <w:sz w:val="18"/>
          <w:szCs w:val="18"/>
        </w:rPr>
        <w:footnoteRef/>
      </w:r>
      <w:r w:rsidRPr="00310C02">
        <w:rPr>
          <w:rFonts w:cs="Times New Roman"/>
          <w:sz w:val="18"/>
          <w:szCs w:val="18"/>
        </w:rPr>
        <w:t xml:space="preserve"> </w:t>
      </w:r>
      <w:r w:rsidRPr="00310C02">
        <w:rPr>
          <w:rFonts w:cs="Times New Roman"/>
          <w:i/>
          <w:iCs/>
          <w:sz w:val="18"/>
          <w:szCs w:val="18"/>
        </w:rPr>
        <w:t>Id.</w:t>
      </w:r>
    </w:p>
  </w:footnote>
  <w:footnote w:id="14">
    <w:p w14:paraId="0180FE98" w14:textId="77777777" w:rsidR="00A175D2" w:rsidRPr="00310C02" w:rsidRDefault="00A175D2" w:rsidP="00117EBC">
      <w:pPr>
        <w:pStyle w:val="FootnoteText"/>
        <w:rPr>
          <w:rFonts w:cs="Times New Roman"/>
          <w:i/>
          <w:iCs/>
          <w:sz w:val="18"/>
          <w:szCs w:val="18"/>
        </w:rPr>
      </w:pPr>
      <w:r w:rsidRPr="00310C02">
        <w:rPr>
          <w:rStyle w:val="FootnoteReference"/>
          <w:sz w:val="18"/>
          <w:szCs w:val="18"/>
        </w:rPr>
        <w:footnoteRef/>
      </w:r>
      <w:r w:rsidRPr="00310C02">
        <w:rPr>
          <w:sz w:val="18"/>
          <w:szCs w:val="18"/>
        </w:rPr>
        <w:t xml:space="preserve"> </w:t>
      </w:r>
      <w:r w:rsidRPr="00310C02">
        <w:rPr>
          <w:i/>
          <w:iCs/>
          <w:sz w:val="18"/>
          <w:szCs w:val="18"/>
        </w:rPr>
        <w:t>Id.</w:t>
      </w:r>
    </w:p>
  </w:footnote>
  <w:footnote w:id="15">
    <w:p w14:paraId="4CB3C9D6" w14:textId="77777777" w:rsidR="00A175D2" w:rsidRPr="00310C02" w:rsidRDefault="00A175D2" w:rsidP="00117EBC">
      <w:pPr>
        <w:pStyle w:val="FootnoteText"/>
        <w:rPr>
          <w:sz w:val="18"/>
          <w:szCs w:val="18"/>
        </w:rPr>
      </w:pPr>
      <w:r w:rsidRPr="00310C02">
        <w:rPr>
          <w:rStyle w:val="FootnoteReference"/>
          <w:sz w:val="18"/>
          <w:szCs w:val="18"/>
        </w:rPr>
        <w:footnoteRef/>
      </w:r>
      <w:r w:rsidRPr="00310C02">
        <w:rPr>
          <w:sz w:val="18"/>
          <w:szCs w:val="18"/>
        </w:rPr>
        <w:t xml:space="preserve"> Ken Belson, </w:t>
      </w:r>
      <w:r w:rsidRPr="00310C02">
        <w:rPr>
          <w:i/>
          <w:iCs/>
          <w:sz w:val="18"/>
          <w:szCs w:val="18"/>
        </w:rPr>
        <w:t>For N.F.L Retirees, Opioids Bring More Pain</w:t>
      </w:r>
      <w:r w:rsidRPr="00310C02">
        <w:rPr>
          <w:sz w:val="18"/>
          <w:szCs w:val="18"/>
        </w:rPr>
        <w:t xml:space="preserve">, </w:t>
      </w:r>
      <w:r w:rsidRPr="00310C02">
        <w:rPr>
          <w:smallCaps/>
          <w:sz w:val="18"/>
          <w:szCs w:val="18"/>
        </w:rPr>
        <w:t>N.Y. Times</w:t>
      </w:r>
      <w:r w:rsidRPr="00310C02">
        <w:rPr>
          <w:sz w:val="18"/>
          <w:szCs w:val="18"/>
        </w:rPr>
        <w:t xml:space="preserve"> (Feb. 3, 2019), https://www.nytimes.com/2019/02/02/sports/nfl-opioids-.html. </w:t>
      </w:r>
    </w:p>
  </w:footnote>
  <w:footnote w:id="16">
    <w:p w14:paraId="2852EE90" w14:textId="77777777" w:rsidR="00A175D2" w:rsidRPr="00310C02" w:rsidRDefault="00A175D2" w:rsidP="00117EBC">
      <w:pPr>
        <w:pStyle w:val="FootnoteText"/>
        <w:rPr>
          <w:i/>
          <w:iCs/>
          <w:sz w:val="18"/>
          <w:szCs w:val="18"/>
        </w:rPr>
      </w:pPr>
      <w:r w:rsidRPr="00310C02">
        <w:rPr>
          <w:rStyle w:val="FootnoteReference"/>
          <w:sz w:val="18"/>
          <w:szCs w:val="18"/>
        </w:rPr>
        <w:footnoteRef/>
      </w:r>
      <w:r w:rsidRPr="00310C02">
        <w:rPr>
          <w:sz w:val="18"/>
          <w:szCs w:val="18"/>
        </w:rPr>
        <w:t xml:space="preserve"> </w:t>
      </w:r>
      <w:r w:rsidRPr="00310C02">
        <w:rPr>
          <w:i/>
          <w:iCs/>
          <w:sz w:val="18"/>
          <w:szCs w:val="18"/>
        </w:rPr>
        <w:t>Id.</w:t>
      </w:r>
    </w:p>
  </w:footnote>
  <w:footnote w:id="17">
    <w:p w14:paraId="1096C4C3" w14:textId="77777777" w:rsidR="00A175D2" w:rsidRPr="00310C02" w:rsidRDefault="00A175D2" w:rsidP="00117EBC">
      <w:pPr>
        <w:pStyle w:val="FootnoteText"/>
        <w:rPr>
          <w:i/>
          <w:iCs/>
          <w:sz w:val="18"/>
          <w:szCs w:val="18"/>
        </w:rPr>
      </w:pPr>
      <w:r w:rsidRPr="00310C02">
        <w:rPr>
          <w:rStyle w:val="FootnoteReference"/>
          <w:sz w:val="18"/>
          <w:szCs w:val="18"/>
        </w:rPr>
        <w:footnoteRef/>
      </w:r>
      <w:r w:rsidRPr="00310C02">
        <w:rPr>
          <w:sz w:val="18"/>
          <w:szCs w:val="18"/>
        </w:rPr>
        <w:t xml:space="preserve"> </w:t>
      </w:r>
      <w:r w:rsidRPr="00310C02">
        <w:rPr>
          <w:i/>
          <w:iCs/>
          <w:sz w:val="18"/>
          <w:szCs w:val="18"/>
        </w:rPr>
        <w:t>Id.</w:t>
      </w:r>
    </w:p>
  </w:footnote>
  <w:footnote w:id="18">
    <w:p w14:paraId="03071408" w14:textId="77777777" w:rsidR="00A175D2" w:rsidRPr="00310C02" w:rsidRDefault="00A175D2" w:rsidP="00117EBC">
      <w:pPr>
        <w:pStyle w:val="FootnoteText"/>
        <w:rPr>
          <w:i/>
          <w:iCs/>
          <w:sz w:val="18"/>
          <w:szCs w:val="18"/>
        </w:rPr>
      </w:pPr>
      <w:r w:rsidRPr="00310C02">
        <w:rPr>
          <w:rStyle w:val="FootnoteReference"/>
          <w:sz w:val="18"/>
          <w:szCs w:val="18"/>
        </w:rPr>
        <w:footnoteRef/>
      </w:r>
      <w:r w:rsidRPr="00310C02">
        <w:rPr>
          <w:sz w:val="18"/>
          <w:szCs w:val="18"/>
        </w:rPr>
        <w:t xml:space="preserve"> </w:t>
      </w:r>
      <w:r w:rsidRPr="00310C02">
        <w:rPr>
          <w:i/>
          <w:iCs/>
          <w:sz w:val="18"/>
          <w:szCs w:val="18"/>
        </w:rPr>
        <w:t>Id.</w:t>
      </w:r>
    </w:p>
  </w:footnote>
  <w:footnote w:id="19">
    <w:p w14:paraId="41E9B142" w14:textId="26E72CDB" w:rsidR="00A175D2" w:rsidRPr="00310C02" w:rsidRDefault="00A175D2">
      <w:pPr>
        <w:pStyle w:val="FootnoteText"/>
        <w:rPr>
          <w:sz w:val="18"/>
          <w:szCs w:val="18"/>
        </w:rPr>
      </w:pPr>
      <w:r w:rsidRPr="00310C02">
        <w:rPr>
          <w:rStyle w:val="FootnoteReference"/>
          <w:sz w:val="18"/>
          <w:szCs w:val="18"/>
        </w:rPr>
        <w:footnoteRef/>
      </w:r>
      <w:r w:rsidRPr="00310C02">
        <w:rPr>
          <w:sz w:val="18"/>
          <w:szCs w:val="18"/>
        </w:rPr>
        <w:t xml:space="preserve"> </w:t>
      </w:r>
      <w:r w:rsidRPr="00310C02">
        <w:rPr>
          <w:iCs/>
          <w:sz w:val="18"/>
          <w:szCs w:val="18"/>
        </w:rPr>
        <w:t xml:space="preserve">Dent v. </w:t>
      </w:r>
      <w:proofErr w:type="spellStart"/>
      <w:r w:rsidRPr="00310C02">
        <w:rPr>
          <w:iCs/>
          <w:sz w:val="18"/>
          <w:szCs w:val="18"/>
        </w:rPr>
        <w:t>Nat’l</w:t>
      </w:r>
      <w:proofErr w:type="spellEnd"/>
      <w:r w:rsidRPr="00310C02">
        <w:rPr>
          <w:iCs/>
          <w:sz w:val="18"/>
          <w:szCs w:val="18"/>
        </w:rPr>
        <w:t xml:space="preserve"> Football League</w:t>
      </w:r>
      <w:r w:rsidRPr="00310C02">
        <w:rPr>
          <w:sz w:val="18"/>
          <w:szCs w:val="18"/>
        </w:rPr>
        <w:t>, 384 F.Supp.3d 1022 (N.D. Cal. April 18, 2019).</w:t>
      </w:r>
    </w:p>
  </w:footnote>
  <w:footnote w:id="20">
    <w:p w14:paraId="41982A4F" w14:textId="45D1B68E" w:rsidR="00A175D2" w:rsidRPr="00310C02" w:rsidRDefault="00A175D2" w:rsidP="00117EBC">
      <w:pPr>
        <w:pStyle w:val="FootnoteText"/>
        <w:rPr>
          <w:sz w:val="18"/>
          <w:szCs w:val="18"/>
        </w:rPr>
      </w:pPr>
      <w:r w:rsidRPr="00310C02">
        <w:rPr>
          <w:rStyle w:val="FootnoteReference"/>
          <w:sz w:val="18"/>
          <w:szCs w:val="18"/>
        </w:rPr>
        <w:footnoteRef/>
      </w:r>
      <w:r w:rsidRPr="00310C02">
        <w:rPr>
          <w:sz w:val="18"/>
          <w:szCs w:val="18"/>
        </w:rPr>
        <w:t xml:space="preserve"> </w:t>
      </w:r>
      <w:r w:rsidRPr="00310C02">
        <w:rPr>
          <w:iCs/>
          <w:sz w:val="18"/>
          <w:szCs w:val="18"/>
        </w:rPr>
        <w:t xml:space="preserve">Dent v. </w:t>
      </w:r>
      <w:proofErr w:type="spellStart"/>
      <w:r w:rsidRPr="00310C02">
        <w:rPr>
          <w:rFonts w:eastAsia="Times New Roman" w:cs="Times New Roman"/>
          <w:sz w:val="18"/>
          <w:szCs w:val="18"/>
          <w:lang w:eastAsia="zh-CN"/>
        </w:rPr>
        <w:t>Nat’l</w:t>
      </w:r>
      <w:proofErr w:type="spellEnd"/>
      <w:r w:rsidRPr="00310C02">
        <w:rPr>
          <w:rFonts w:eastAsia="Times New Roman" w:cs="Times New Roman"/>
          <w:sz w:val="18"/>
          <w:szCs w:val="18"/>
          <w:lang w:eastAsia="zh-CN"/>
        </w:rPr>
        <w:t xml:space="preserve"> Football League</w:t>
      </w:r>
      <w:r w:rsidRPr="00310C02">
        <w:rPr>
          <w:sz w:val="18"/>
          <w:szCs w:val="18"/>
        </w:rPr>
        <w:t xml:space="preserve">, No. C 14-02324 WHA, 2014 U.S. Dist. LEXIS 174448 (N.D. Cal. Dec. 17, 2014); </w:t>
      </w:r>
      <w:r w:rsidRPr="00310C02">
        <w:rPr>
          <w:iCs/>
          <w:sz w:val="18"/>
          <w:szCs w:val="18"/>
        </w:rPr>
        <w:t>Evans v. Arizona</w:t>
      </w:r>
      <w:r w:rsidRPr="00310C02">
        <w:rPr>
          <w:sz w:val="18"/>
          <w:szCs w:val="18"/>
        </w:rPr>
        <w:t>, No. C 26-01030 WHA, 2016 U.S. Dist. LEXIS 86207 (N.D. Cal. July 1, 2016).</w:t>
      </w:r>
    </w:p>
  </w:footnote>
  <w:footnote w:id="21">
    <w:p w14:paraId="059BE369" w14:textId="77777777" w:rsidR="00A175D2" w:rsidRPr="00310C02" w:rsidRDefault="00A175D2" w:rsidP="00117EBC">
      <w:pPr>
        <w:pStyle w:val="FootnoteText"/>
        <w:rPr>
          <w:sz w:val="18"/>
          <w:szCs w:val="18"/>
        </w:rPr>
      </w:pPr>
      <w:r w:rsidRPr="00310C02">
        <w:rPr>
          <w:rStyle w:val="FootnoteReference"/>
          <w:sz w:val="18"/>
          <w:szCs w:val="18"/>
        </w:rPr>
        <w:footnoteRef/>
      </w:r>
      <w:r w:rsidRPr="00310C02">
        <w:rPr>
          <w:sz w:val="18"/>
          <w:szCs w:val="18"/>
        </w:rPr>
        <w:t xml:space="preserve"> </w:t>
      </w:r>
      <w:r w:rsidRPr="00310C02">
        <w:rPr>
          <w:i/>
          <w:iCs/>
          <w:sz w:val="18"/>
          <w:szCs w:val="18"/>
        </w:rPr>
        <w:t>Id.</w:t>
      </w:r>
    </w:p>
  </w:footnote>
  <w:footnote w:id="22">
    <w:p w14:paraId="486FDAEE" w14:textId="77777777" w:rsidR="00A175D2" w:rsidRPr="00310C02" w:rsidRDefault="00A175D2" w:rsidP="00117EBC">
      <w:pPr>
        <w:pStyle w:val="FootnoteText"/>
        <w:rPr>
          <w:sz w:val="18"/>
          <w:szCs w:val="18"/>
        </w:rPr>
      </w:pPr>
      <w:r w:rsidRPr="00310C02">
        <w:rPr>
          <w:rStyle w:val="FootnoteReference"/>
          <w:sz w:val="18"/>
          <w:szCs w:val="18"/>
        </w:rPr>
        <w:footnoteRef/>
      </w:r>
      <w:r w:rsidRPr="00310C02">
        <w:rPr>
          <w:sz w:val="18"/>
          <w:szCs w:val="18"/>
        </w:rPr>
        <w:t xml:space="preserve"> </w:t>
      </w:r>
      <w:r w:rsidRPr="00310C02">
        <w:rPr>
          <w:i/>
          <w:iCs/>
          <w:sz w:val="18"/>
          <w:szCs w:val="18"/>
        </w:rPr>
        <w:t>Id.</w:t>
      </w:r>
    </w:p>
  </w:footnote>
  <w:footnote w:id="23">
    <w:p w14:paraId="062EC79D" w14:textId="29B85919" w:rsidR="00A175D2" w:rsidRPr="00310C02" w:rsidRDefault="00A175D2" w:rsidP="00117EBC">
      <w:pPr>
        <w:pStyle w:val="FootnoteText"/>
        <w:rPr>
          <w:sz w:val="18"/>
          <w:szCs w:val="18"/>
        </w:rPr>
      </w:pPr>
      <w:r w:rsidRPr="00310C02">
        <w:rPr>
          <w:rStyle w:val="FootnoteReference"/>
          <w:sz w:val="18"/>
          <w:szCs w:val="18"/>
        </w:rPr>
        <w:footnoteRef/>
      </w:r>
      <w:r w:rsidRPr="00310C02">
        <w:rPr>
          <w:sz w:val="18"/>
          <w:szCs w:val="18"/>
        </w:rPr>
        <w:t xml:space="preserve"> Paul J. </w:t>
      </w:r>
      <w:proofErr w:type="spellStart"/>
      <w:r w:rsidRPr="00310C02">
        <w:rPr>
          <w:sz w:val="18"/>
          <w:szCs w:val="18"/>
        </w:rPr>
        <w:t>Zech</w:t>
      </w:r>
      <w:proofErr w:type="spellEnd"/>
      <w:r w:rsidRPr="00310C02">
        <w:rPr>
          <w:sz w:val="18"/>
          <w:szCs w:val="18"/>
        </w:rPr>
        <w:t xml:space="preserve">, </w:t>
      </w:r>
      <w:r w:rsidRPr="00310C02">
        <w:rPr>
          <w:i/>
          <w:iCs/>
          <w:sz w:val="18"/>
          <w:szCs w:val="18"/>
        </w:rPr>
        <w:t>Federal Pre-emption and State Exclusive Remedy Issues in Employment Litigation</w:t>
      </w:r>
      <w:r w:rsidRPr="00310C02">
        <w:rPr>
          <w:sz w:val="18"/>
          <w:szCs w:val="18"/>
        </w:rPr>
        <w:t xml:space="preserve">, 72 </w:t>
      </w:r>
      <w:r w:rsidRPr="00310C02">
        <w:rPr>
          <w:smallCaps/>
          <w:sz w:val="18"/>
          <w:szCs w:val="18"/>
        </w:rPr>
        <w:t>N.D. L. Rev.</w:t>
      </w:r>
      <w:r w:rsidRPr="00310C02">
        <w:rPr>
          <w:sz w:val="18"/>
          <w:szCs w:val="18"/>
        </w:rPr>
        <w:t xml:space="preserve"> 325, 331 (1996).</w:t>
      </w:r>
    </w:p>
  </w:footnote>
  <w:footnote w:id="24">
    <w:p w14:paraId="4BAC7BC5" w14:textId="77777777" w:rsidR="00A175D2" w:rsidRPr="00310C02" w:rsidRDefault="00A175D2" w:rsidP="00117EBC">
      <w:pPr>
        <w:pStyle w:val="FootnoteText"/>
        <w:rPr>
          <w:sz w:val="18"/>
          <w:szCs w:val="18"/>
        </w:rPr>
      </w:pPr>
      <w:r w:rsidRPr="00310C02">
        <w:rPr>
          <w:rStyle w:val="FootnoteReference"/>
          <w:sz w:val="18"/>
          <w:szCs w:val="18"/>
        </w:rPr>
        <w:footnoteRef/>
      </w:r>
      <w:r w:rsidRPr="00310C02">
        <w:rPr>
          <w:sz w:val="18"/>
          <w:szCs w:val="18"/>
        </w:rPr>
        <w:t xml:space="preserve"> Bridget Miller, </w:t>
      </w:r>
      <w:r w:rsidRPr="00310C02">
        <w:rPr>
          <w:i/>
          <w:iCs/>
          <w:sz w:val="18"/>
          <w:szCs w:val="18"/>
        </w:rPr>
        <w:t xml:space="preserve">What is a Collective Bargaining </w:t>
      </w:r>
      <w:proofErr w:type="gramStart"/>
      <w:r w:rsidRPr="00310C02">
        <w:rPr>
          <w:i/>
          <w:iCs/>
          <w:sz w:val="18"/>
          <w:szCs w:val="18"/>
        </w:rPr>
        <w:t>Agreement?</w:t>
      </w:r>
      <w:r w:rsidRPr="00310C02">
        <w:rPr>
          <w:sz w:val="18"/>
          <w:szCs w:val="18"/>
        </w:rPr>
        <w:t>,</w:t>
      </w:r>
      <w:proofErr w:type="gramEnd"/>
      <w:r w:rsidRPr="00310C02">
        <w:rPr>
          <w:sz w:val="18"/>
          <w:szCs w:val="18"/>
        </w:rPr>
        <w:t xml:space="preserve"> </w:t>
      </w:r>
      <w:r w:rsidRPr="00310C02">
        <w:rPr>
          <w:smallCaps/>
          <w:sz w:val="18"/>
          <w:szCs w:val="18"/>
        </w:rPr>
        <w:t>HR Daily Advisor</w:t>
      </w:r>
      <w:r w:rsidRPr="00310C02">
        <w:rPr>
          <w:sz w:val="18"/>
          <w:szCs w:val="18"/>
        </w:rPr>
        <w:t xml:space="preserve"> (Feb. 17, 2016), https://hrdailyadvisor.blr.com/2016/02/17/what-is-a-collective-bargaining-agreement/. </w:t>
      </w:r>
    </w:p>
  </w:footnote>
  <w:footnote w:id="25">
    <w:p w14:paraId="33151513" w14:textId="77777777" w:rsidR="00A175D2" w:rsidRPr="00310C02" w:rsidRDefault="00A175D2" w:rsidP="00117EBC">
      <w:pPr>
        <w:pStyle w:val="FootnoteText"/>
        <w:rPr>
          <w:sz w:val="18"/>
          <w:szCs w:val="18"/>
        </w:rPr>
      </w:pPr>
      <w:r w:rsidRPr="00310C02">
        <w:rPr>
          <w:rStyle w:val="FootnoteReference"/>
          <w:sz w:val="18"/>
          <w:szCs w:val="18"/>
        </w:rPr>
        <w:footnoteRef/>
      </w:r>
      <w:r w:rsidRPr="00310C02">
        <w:rPr>
          <w:sz w:val="18"/>
          <w:szCs w:val="18"/>
        </w:rPr>
        <w:t xml:space="preserve">  </w:t>
      </w:r>
      <w:r w:rsidRPr="00310C02">
        <w:rPr>
          <w:i/>
          <w:iCs/>
          <w:sz w:val="18"/>
          <w:szCs w:val="18"/>
        </w:rPr>
        <w:t>Id.</w:t>
      </w:r>
    </w:p>
  </w:footnote>
  <w:footnote w:id="26">
    <w:p w14:paraId="4AD651F1" w14:textId="09C60085" w:rsidR="00A175D2" w:rsidRPr="00310C02" w:rsidRDefault="00A175D2" w:rsidP="00117EBC">
      <w:pPr>
        <w:pStyle w:val="FootnoteText"/>
        <w:rPr>
          <w:sz w:val="18"/>
          <w:szCs w:val="18"/>
        </w:rPr>
      </w:pPr>
      <w:r w:rsidRPr="00310C02">
        <w:rPr>
          <w:rStyle w:val="FootnoteReference"/>
          <w:sz w:val="18"/>
          <w:szCs w:val="18"/>
        </w:rPr>
        <w:footnoteRef/>
      </w:r>
      <w:r w:rsidRPr="00310C02">
        <w:rPr>
          <w:sz w:val="18"/>
          <w:szCs w:val="18"/>
        </w:rPr>
        <w:t xml:space="preserve"> </w:t>
      </w:r>
      <w:proofErr w:type="spellStart"/>
      <w:r w:rsidRPr="00310C02">
        <w:rPr>
          <w:sz w:val="18"/>
          <w:szCs w:val="18"/>
        </w:rPr>
        <w:t>Zech</w:t>
      </w:r>
      <w:proofErr w:type="spellEnd"/>
      <w:r w:rsidRPr="00310C02">
        <w:rPr>
          <w:sz w:val="18"/>
          <w:szCs w:val="18"/>
        </w:rPr>
        <w:t xml:space="preserve">, </w:t>
      </w:r>
      <w:r w:rsidRPr="00310C02">
        <w:rPr>
          <w:i/>
          <w:iCs/>
          <w:sz w:val="18"/>
          <w:szCs w:val="18"/>
        </w:rPr>
        <w:t xml:space="preserve">supra </w:t>
      </w:r>
      <w:r w:rsidRPr="00310C02">
        <w:rPr>
          <w:sz w:val="18"/>
          <w:szCs w:val="18"/>
        </w:rPr>
        <w:t>note 23, at 331.</w:t>
      </w:r>
    </w:p>
  </w:footnote>
  <w:footnote w:id="27">
    <w:p w14:paraId="1B1274CD" w14:textId="77777777" w:rsidR="00A175D2" w:rsidRPr="00310C02" w:rsidRDefault="00A175D2" w:rsidP="00117EBC">
      <w:pPr>
        <w:pStyle w:val="FootnoteText"/>
        <w:rPr>
          <w:i/>
          <w:iCs/>
          <w:sz w:val="18"/>
          <w:szCs w:val="18"/>
        </w:rPr>
      </w:pPr>
      <w:r w:rsidRPr="00310C02">
        <w:rPr>
          <w:rStyle w:val="FootnoteReference"/>
          <w:sz w:val="18"/>
          <w:szCs w:val="18"/>
        </w:rPr>
        <w:footnoteRef/>
      </w:r>
      <w:r w:rsidRPr="00310C02">
        <w:rPr>
          <w:sz w:val="18"/>
          <w:szCs w:val="18"/>
        </w:rPr>
        <w:t xml:space="preserve"> </w:t>
      </w:r>
      <w:r w:rsidRPr="00310C02">
        <w:rPr>
          <w:i/>
          <w:iCs/>
          <w:sz w:val="18"/>
          <w:szCs w:val="18"/>
        </w:rPr>
        <w:t>Id.</w:t>
      </w:r>
    </w:p>
  </w:footnote>
  <w:footnote w:id="28">
    <w:p w14:paraId="2E17A5AE" w14:textId="77777777" w:rsidR="00A175D2" w:rsidRPr="00310C02" w:rsidRDefault="00A175D2" w:rsidP="00117EBC">
      <w:pPr>
        <w:pStyle w:val="FootnoteText"/>
        <w:rPr>
          <w:sz w:val="18"/>
          <w:szCs w:val="18"/>
        </w:rPr>
      </w:pPr>
      <w:r w:rsidRPr="00310C02">
        <w:rPr>
          <w:rStyle w:val="FootnoteReference"/>
          <w:sz w:val="18"/>
          <w:szCs w:val="18"/>
        </w:rPr>
        <w:footnoteRef/>
      </w:r>
      <w:r w:rsidRPr="00310C02">
        <w:rPr>
          <w:sz w:val="18"/>
          <w:szCs w:val="18"/>
        </w:rPr>
        <w:t xml:space="preserve"> </w:t>
      </w:r>
      <w:r w:rsidRPr="00310C02">
        <w:rPr>
          <w:i/>
          <w:iCs/>
          <w:sz w:val="18"/>
          <w:szCs w:val="18"/>
        </w:rPr>
        <w:t>Id.</w:t>
      </w:r>
    </w:p>
  </w:footnote>
  <w:footnote w:id="29">
    <w:p w14:paraId="5C3BC971" w14:textId="77777777" w:rsidR="00A175D2" w:rsidRPr="00310C02" w:rsidRDefault="00A175D2" w:rsidP="00117EBC">
      <w:pPr>
        <w:pStyle w:val="FootnoteText"/>
        <w:rPr>
          <w:sz w:val="18"/>
          <w:szCs w:val="18"/>
        </w:rPr>
      </w:pPr>
      <w:r w:rsidRPr="00310C02">
        <w:rPr>
          <w:rStyle w:val="FootnoteReference"/>
          <w:sz w:val="18"/>
          <w:szCs w:val="18"/>
        </w:rPr>
        <w:footnoteRef/>
      </w:r>
      <w:r w:rsidRPr="00310C02">
        <w:rPr>
          <w:sz w:val="18"/>
          <w:szCs w:val="18"/>
        </w:rPr>
        <w:t xml:space="preserve"> </w:t>
      </w:r>
      <w:r w:rsidRPr="00310C02">
        <w:rPr>
          <w:i/>
          <w:iCs/>
          <w:sz w:val="18"/>
          <w:szCs w:val="18"/>
        </w:rPr>
        <w:t>Id.</w:t>
      </w:r>
      <w:r w:rsidRPr="00310C02">
        <w:rPr>
          <w:sz w:val="18"/>
          <w:szCs w:val="18"/>
        </w:rPr>
        <w:t xml:space="preserve"> at 332.</w:t>
      </w:r>
    </w:p>
  </w:footnote>
  <w:footnote w:id="30">
    <w:p w14:paraId="7CABEDF5" w14:textId="77777777" w:rsidR="00A175D2" w:rsidRPr="00310C02" w:rsidRDefault="00A175D2" w:rsidP="00117EBC">
      <w:pPr>
        <w:pStyle w:val="FootnoteText"/>
        <w:rPr>
          <w:i/>
          <w:iCs/>
          <w:sz w:val="18"/>
          <w:szCs w:val="18"/>
        </w:rPr>
      </w:pPr>
      <w:r w:rsidRPr="00310C02">
        <w:rPr>
          <w:rStyle w:val="FootnoteReference"/>
          <w:sz w:val="18"/>
          <w:szCs w:val="18"/>
        </w:rPr>
        <w:footnoteRef/>
      </w:r>
      <w:r w:rsidRPr="00310C02">
        <w:rPr>
          <w:sz w:val="18"/>
          <w:szCs w:val="18"/>
        </w:rPr>
        <w:t xml:space="preserve"> </w:t>
      </w:r>
      <w:r w:rsidRPr="00310C02">
        <w:rPr>
          <w:i/>
          <w:iCs/>
          <w:sz w:val="18"/>
          <w:szCs w:val="18"/>
        </w:rPr>
        <w:t>Id.</w:t>
      </w:r>
    </w:p>
  </w:footnote>
  <w:footnote w:id="31">
    <w:p w14:paraId="6AD4BE25" w14:textId="457CC16E" w:rsidR="00A175D2" w:rsidRPr="00310C02" w:rsidRDefault="00A175D2" w:rsidP="00117EBC">
      <w:pPr>
        <w:pStyle w:val="FootnoteText"/>
        <w:rPr>
          <w:sz w:val="18"/>
          <w:szCs w:val="18"/>
        </w:rPr>
      </w:pPr>
      <w:r w:rsidRPr="00310C02">
        <w:rPr>
          <w:rStyle w:val="FootnoteReference"/>
          <w:sz w:val="18"/>
          <w:szCs w:val="18"/>
        </w:rPr>
        <w:footnoteRef/>
      </w:r>
      <w:r w:rsidRPr="00310C02">
        <w:rPr>
          <w:sz w:val="18"/>
          <w:szCs w:val="18"/>
        </w:rPr>
        <w:t xml:space="preserve"> </w:t>
      </w:r>
      <w:r w:rsidR="00CD428F">
        <w:rPr>
          <w:i/>
          <w:iCs/>
          <w:sz w:val="18"/>
          <w:szCs w:val="18"/>
        </w:rPr>
        <w:t xml:space="preserve">See generally </w:t>
      </w:r>
      <w:proofErr w:type="spellStart"/>
      <w:r w:rsidRPr="00310C02">
        <w:rPr>
          <w:rFonts w:cs="Times New Roman"/>
          <w:iCs/>
          <w:color w:val="000000" w:themeColor="text1"/>
          <w:sz w:val="18"/>
          <w:szCs w:val="18"/>
        </w:rPr>
        <w:t>Tand</w:t>
      </w:r>
      <w:proofErr w:type="spellEnd"/>
      <w:r w:rsidRPr="00310C02">
        <w:rPr>
          <w:rFonts w:cs="Times New Roman"/>
          <w:iCs/>
          <w:color w:val="000000" w:themeColor="text1"/>
          <w:sz w:val="18"/>
          <w:szCs w:val="18"/>
        </w:rPr>
        <w:t xml:space="preserve"> v. Solomon Schechter Day School of Nassau Co.</w:t>
      </w:r>
      <w:r>
        <w:rPr>
          <w:rFonts w:cs="Times New Roman"/>
          <w:color w:val="000000" w:themeColor="text1"/>
          <w:sz w:val="18"/>
          <w:szCs w:val="18"/>
        </w:rPr>
        <w:t>, 324 F.Supp.</w:t>
      </w:r>
      <w:r w:rsidRPr="00310C02">
        <w:rPr>
          <w:rFonts w:cs="Times New Roman"/>
          <w:color w:val="000000" w:themeColor="text1"/>
          <w:sz w:val="18"/>
          <w:szCs w:val="18"/>
        </w:rPr>
        <w:t>2d 379 (E.D. N.Y. 2004).</w:t>
      </w:r>
    </w:p>
  </w:footnote>
  <w:footnote w:id="32">
    <w:p w14:paraId="7E8F923D" w14:textId="138C5164" w:rsidR="00A175D2" w:rsidRPr="00310C02" w:rsidRDefault="00A175D2" w:rsidP="00117EBC">
      <w:pPr>
        <w:pStyle w:val="FootnoteText"/>
        <w:rPr>
          <w:sz w:val="18"/>
          <w:szCs w:val="18"/>
        </w:rPr>
      </w:pPr>
      <w:r w:rsidRPr="00310C02">
        <w:rPr>
          <w:rStyle w:val="FootnoteReference"/>
          <w:sz w:val="18"/>
          <w:szCs w:val="18"/>
        </w:rPr>
        <w:footnoteRef/>
      </w:r>
      <w:r w:rsidRPr="00310C02">
        <w:rPr>
          <w:sz w:val="18"/>
          <w:szCs w:val="18"/>
        </w:rPr>
        <w:t xml:space="preserve"> </w:t>
      </w:r>
      <w:r w:rsidR="00CD428F">
        <w:rPr>
          <w:i/>
          <w:iCs/>
          <w:sz w:val="18"/>
          <w:szCs w:val="18"/>
        </w:rPr>
        <w:t xml:space="preserve">See generally </w:t>
      </w:r>
      <w:r w:rsidRPr="00310C02">
        <w:rPr>
          <w:rFonts w:cs="Times New Roman"/>
          <w:iCs/>
          <w:color w:val="000000" w:themeColor="text1"/>
          <w:sz w:val="18"/>
          <w:szCs w:val="18"/>
        </w:rPr>
        <w:t>Pitts v. Plumbers &amp; Steamfitters Local Union No. 33</w:t>
      </w:r>
      <w:r>
        <w:rPr>
          <w:rFonts w:cs="Times New Roman"/>
          <w:color w:val="000000" w:themeColor="text1"/>
          <w:sz w:val="18"/>
          <w:szCs w:val="18"/>
        </w:rPr>
        <w:t>, 718 F.Supp.</w:t>
      </w:r>
      <w:r w:rsidRPr="00310C02">
        <w:rPr>
          <w:rFonts w:cs="Times New Roman"/>
          <w:color w:val="000000" w:themeColor="text1"/>
          <w:sz w:val="18"/>
          <w:szCs w:val="18"/>
        </w:rPr>
        <w:t>2d 1010 (S.D. Iowa 2010).</w:t>
      </w:r>
    </w:p>
  </w:footnote>
  <w:footnote w:id="33">
    <w:p w14:paraId="64EA37A7" w14:textId="6EC1D80C" w:rsidR="00A175D2" w:rsidRPr="00310C02" w:rsidRDefault="00A175D2" w:rsidP="00117EBC">
      <w:pPr>
        <w:pStyle w:val="FootnoteText"/>
        <w:rPr>
          <w:sz w:val="18"/>
          <w:szCs w:val="18"/>
        </w:rPr>
      </w:pPr>
      <w:r w:rsidRPr="00310C02">
        <w:rPr>
          <w:rStyle w:val="FootnoteReference"/>
          <w:sz w:val="18"/>
          <w:szCs w:val="18"/>
        </w:rPr>
        <w:footnoteRef/>
      </w:r>
      <w:r w:rsidRPr="00310C02">
        <w:rPr>
          <w:sz w:val="18"/>
          <w:szCs w:val="18"/>
        </w:rPr>
        <w:t xml:space="preserve"> </w:t>
      </w:r>
      <w:r w:rsidRPr="00310C02">
        <w:rPr>
          <w:iCs/>
          <w:sz w:val="18"/>
          <w:szCs w:val="18"/>
        </w:rPr>
        <w:t xml:space="preserve">Dent v. </w:t>
      </w:r>
      <w:proofErr w:type="spellStart"/>
      <w:r w:rsidRPr="00310C02">
        <w:rPr>
          <w:rFonts w:eastAsia="Times New Roman" w:cs="Times New Roman"/>
          <w:sz w:val="18"/>
          <w:szCs w:val="18"/>
          <w:lang w:eastAsia="zh-CN"/>
        </w:rPr>
        <w:t>Nat’l</w:t>
      </w:r>
      <w:proofErr w:type="spellEnd"/>
      <w:r w:rsidRPr="00310C02">
        <w:rPr>
          <w:rFonts w:eastAsia="Times New Roman" w:cs="Times New Roman"/>
          <w:sz w:val="18"/>
          <w:szCs w:val="18"/>
          <w:lang w:eastAsia="zh-CN"/>
        </w:rPr>
        <w:t xml:space="preserve"> Football League</w:t>
      </w:r>
      <w:r w:rsidRPr="00310C02">
        <w:rPr>
          <w:sz w:val="18"/>
          <w:szCs w:val="18"/>
        </w:rPr>
        <w:t>, No. C 14-02324 WHA, 2014 U.S. Dist. LEXIS 174448, at *3 (N.D. Cal. Dec. 17, 2014)</w:t>
      </w:r>
      <w:r w:rsidRPr="00310C02">
        <w:rPr>
          <w:i/>
          <w:iCs/>
          <w:sz w:val="18"/>
          <w:szCs w:val="18"/>
          <w:lang w:val="da-DK"/>
        </w:rPr>
        <w:t>.</w:t>
      </w:r>
    </w:p>
  </w:footnote>
  <w:footnote w:id="34">
    <w:p w14:paraId="0865E780" w14:textId="77777777"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Id.</w:t>
      </w:r>
    </w:p>
  </w:footnote>
  <w:footnote w:id="35">
    <w:p w14:paraId="486EC735" w14:textId="77777777"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Id.</w:t>
      </w:r>
    </w:p>
  </w:footnote>
  <w:footnote w:id="36">
    <w:p w14:paraId="5CDD0E73" w14:textId="77777777" w:rsidR="00A175D2" w:rsidRPr="00310C02" w:rsidRDefault="00A175D2" w:rsidP="00117EBC">
      <w:pPr>
        <w:pStyle w:val="FootnoteText"/>
        <w:rPr>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Id.</w:t>
      </w:r>
      <w:r w:rsidRPr="00310C02">
        <w:rPr>
          <w:sz w:val="18"/>
          <w:szCs w:val="18"/>
          <w:lang w:val="da-DK"/>
        </w:rPr>
        <w:t xml:space="preserve"> at *4.</w:t>
      </w:r>
    </w:p>
  </w:footnote>
  <w:footnote w:id="37">
    <w:p w14:paraId="27803595" w14:textId="77777777" w:rsidR="00A175D2" w:rsidRPr="00310C02" w:rsidRDefault="00A175D2" w:rsidP="00117EBC">
      <w:pPr>
        <w:pStyle w:val="FootnoteText"/>
        <w:rPr>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 xml:space="preserve">Id. </w:t>
      </w:r>
      <w:r w:rsidRPr="00310C02">
        <w:rPr>
          <w:sz w:val="18"/>
          <w:szCs w:val="18"/>
          <w:lang w:val="da-DK"/>
        </w:rPr>
        <w:t>at *5.</w:t>
      </w:r>
    </w:p>
  </w:footnote>
  <w:footnote w:id="38">
    <w:p w14:paraId="7C946CDE" w14:textId="7FEE06EE" w:rsidR="00A175D2" w:rsidRPr="00310C02" w:rsidRDefault="00A175D2" w:rsidP="00117EBC">
      <w:pPr>
        <w:pStyle w:val="FootnoteText"/>
        <w:rPr>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rPr>
        <w:t>Id.</w:t>
      </w:r>
    </w:p>
  </w:footnote>
  <w:footnote w:id="39">
    <w:p w14:paraId="65217563" w14:textId="6D09CBA6"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Cs/>
          <w:sz w:val="18"/>
          <w:szCs w:val="18"/>
        </w:rPr>
        <w:t xml:space="preserve">Dent v. </w:t>
      </w:r>
      <w:proofErr w:type="spellStart"/>
      <w:r w:rsidRPr="00310C02">
        <w:rPr>
          <w:rFonts w:eastAsia="Times New Roman" w:cs="Times New Roman"/>
          <w:sz w:val="18"/>
          <w:szCs w:val="18"/>
          <w:lang w:eastAsia="zh-CN"/>
        </w:rPr>
        <w:t>Nat’l</w:t>
      </w:r>
      <w:proofErr w:type="spellEnd"/>
      <w:r w:rsidRPr="00310C02">
        <w:rPr>
          <w:rFonts w:eastAsia="Times New Roman" w:cs="Times New Roman"/>
          <w:sz w:val="18"/>
          <w:szCs w:val="18"/>
          <w:lang w:eastAsia="zh-CN"/>
        </w:rPr>
        <w:t xml:space="preserve"> Football League</w:t>
      </w:r>
      <w:r w:rsidRPr="00310C02">
        <w:rPr>
          <w:sz w:val="18"/>
          <w:szCs w:val="18"/>
        </w:rPr>
        <w:t>, No. C 14-02324 WHA, 2014 U.S. Dist. LEXIS 174448, at *5 (N.D. Cal. Dec. 17, 2014)</w:t>
      </w:r>
      <w:r w:rsidRPr="00310C02">
        <w:rPr>
          <w:i/>
          <w:iCs/>
          <w:sz w:val="18"/>
          <w:szCs w:val="18"/>
          <w:lang w:val="da-DK"/>
        </w:rPr>
        <w:t>.</w:t>
      </w:r>
    </w:p>
  </w:footnote>
  <w:footnote w:id="40">
    <w:p w14:paraId="4FA130CE" w14:textId="77777777"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Id.</w:t>
      </w:r>
    </w:p>
  </w:footnote>
  <w:footnote w:id="41">
    <w:p w14:paraId="75DA2081" w14:textId="77777777"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Id.</w:t>
      </w:r>
    </w:p>
  </w:footnote>
  <w:footnote w:id="42">
    <w:p w14:paraId="4C1DF49E" w14:textId="77777777"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 xml:space="preserve">Id. </w:t>
      </w:r>
      <w:r w:rsidRPr="00310C02">
        <w:rPr>
          <w:sz w:val="18"/>
          <w:szCs w:val="18"/>
          <w:lang w:val="da-DK"/>
        </w:rPr>
        <w:t>at *20.</w:t>
      </w:r>
    </w:p>
  </w:footnote>
  <w:footnote w:id="43">
    <w:p w14:paraId="343E1FB3" w14:textId="19433FCB" w:rsidR="00A175D2" w:rsidRPr="00310C02" w:rsidRDefault="00A175D2" w:rsidP="00117EBC">
      <w:pPr>
        <w:pStyle w:val="FootnoteText"/>
        <w:rPr>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rPr>
        <w:t xml:space="preserve">Id. </w:t>
      </w:r>
      <w:r w:rsidRPr="00310C02">
        <w:rPr>
          <w:sz w:val="18"/>
          <w:szCs w:val="18"/>
        </w:rPr>
        <w:t>at *23.</w:t>
      </w:r>
    </w:p>
  </w:footnote>
  <w:footnote w:id="44">
    <w:p w14:paraId="5615E5E3" w14:textId="43F3103C" w:rsidR="00A175D2" w:rsidRPr="00310C02" w:rsidRDefault="00A175D2">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 xml:space="preserve">Id. </w:t>
      </w:r>
      <w:r w:rsidRPr="00310C02">
        <w:rPr>
          <w:sz w:val="18"/>
          <w:szCs w:val="18"/>
          <w:lang w:val="da-DK"/>
        </w:rPr>
        <w:t>at</w:t>
      </w:r>
      <w:r w:rsidRPr="00310C02">
        <w:rPr>
          <w:i/>
          <w:iCs/>
          <w:sz w:val="18"/>
          <w:szCs w:val="18"/>
          <w:lang w:val="da-DK"/>
        </w:rPr>
        <w:t xml:space="preserve"> </w:t>
      </w:r>
      <w:r w:rsidRPr="00310C02">
        <w:rPr>
          <w:sz w:val="18"/>
          <w:szCs w:val="18"/>
          <w:lang w:val="da-DK"/>
        </w:rPr>
        <w:t>*24.</w:t>
      </w:r>
    </w:p>
  </w:footnote>
  <w:footnote w:id="45">
    <w:p w14:paraId="4E52E8BF" w14:textId="25BCA47B" w:rsidR="00A175D2" w:rsidRPr="00310C02" w:rsidRDefault="00A175D2" w:rsidP="00117EBC">
      <w:pPr>
        <w:pStyle w:val="FootnoteText"/>
        <w:rPr>
          <w:sz w:val="18"/>
          <w:szCs w:val="18"/>
          <w:lang w:val="da-DK"/>
        </w:rPr>
      </w:pPr>
      <w:r w:rsidRPr="00310C02">
        <w:rPr>
          <w:rStyle w:val="FootnoteReference"/>
          <w:sz w:val="18"/>
          <w:szCs w:val="18"/>
        </w:rPr>
        <w:footnoteRef/>
      </w:r>
      <w:r w:rsidRPr="00310C02">
        <w:rPr>
          <w:sz w:val="18"/>
          <w:szCs w:val="18"/>
          <w:lang w:val="da-DK"/>
        </w:rPr>
        <w:t xml:space="preserve"> </w:t>
      </w:r>
      <w:r w:rsidRPr="00310C02">
        <w:rPr>
          <w:iCs/>
          <w:sz w:val="18"/>
          <w:szCs w:val="18"/>
        </w:rPr>
        <w:t xml:space="preserve">Dent v. </w:t>
      </w:r>
      <w:proofErr w:type="spellStart"/>
      <w:r w:rsidRPr="00310C02">
        <w:rPr>
          <w:rFonts w:eastAsia="Times New Roman" w:cs="Times New Roman"/>
          <w:sz w:val="18"/>
          <w:szCs w:val="18"/>
          <w:lang w:eastAsia="zh-CN"/>
        </w:rPr>
        <w:t>Nat’l</w:t>
      </w:r>
      <w:proofErr w:type="spellEnd"/>
      <w:r w:rsidRPr="00310C02">
        <w:rPr>
          <w:rFonts w:eastAsia="Times New Roman" w:cs="Times New Roman"/>
          <w:sz w:val="18"/>
          <w:szCs w:val="18"/>
          <w:lang w:eastAsia="zh-CN"/>
        </w:rPr>
        <w:t xml:space="preserve"> Football League</w:t>
      </w:r>
      <w:r w:rsidRPr="00310C02">
        <w:rPr>
          <w:sz w:val="18"/>
          <w:szCs w:val="18"/>
        </w:rPr>
        <w:t>, No. C 14-02324 WHA, 2014 U.S. Dist. LEXIS 174448, at *24 (N.D. Cal. Dec. 17, 2014)</w:t>
      </w:r>
      <w:r w:rsidRPr="00310C02">
        <w:rPr>
          <w:i/>
          <w:iCs/>
          <w:sz w:val="18"/>
          <w:szCs w:val="18"/>
          <w:lang w:val="da-DK"/>
        </w:rPr>
        <w:t>.</w:t>
      </w:r>
    </w:p>
  </w:footnote>
  <w:footnote w:id="46">
    <w:p w14:paraId="5DB7D59B" w14:textId="77777777" w:rsidR="00A175D2" w:rsidRPr="00310C02" w:rsidRDefault="00A175D2" w:rsidP="00117EBC">
      <w:pPr>
        <w:pStyle w:val="FootnoteText"/>
        <w:rPr>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 xml:space="preserve">Id. </w:t>
      </w:r>
      <w:r w:rsidRPr="00310C02">
        <w:rPr>
          <w:sz w:val="18"/>
          <w:szCs w:val="18"/>
          <w:lang w:val="da-DK"/>
        </w:rPr>
        <w:t>at *24-25.</w:t>
      </w:r>
    </w:p>
  </w:footnote>
  <w:footnote w:id="47">
    <w:p w14:paraId="708A7C90" w14:textId="77777777" w:rsidR="00A175D2" w:rsidRPr="00310C02" w:rsidRDefault="00A175D2" w:rsidP="00117EBC">
      <w:pPr>
        <w:pStyle w:val="FootnoteText"/>
        <w:rPr>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 xml:space="preserve">Id. </w:t>
      </w:r>
      <w:r w:rsidRPr="00310C02">
        <w:rPr>
          <w:sz w:val="18"/>
          <w:szCs w:val="18"/>
          <w:lang w:val="da-DK"/>
        </w:rPr>
        <w:t>at *36.</w:t>
      </w:r>
    </w:p>
  </w:footnote>
  <w:footnote w:id="48">
    <w:p w14:paraId="0BD997AD" w14:textId="426B41C0" w:rsidR="00A175D2" w:rsidRPr="00310C02" w:rsidRDefault="00A175D2" w:rsidP="00117EBC">
      <w:pPr>
        <w:pStyle w:val="FootnoteText"/>
        <w:rPr>
          <w:sz w:val="18"/>
          <w:szCs w:val="18"/>
        </w:rPr>
      </w:pPr>
      <w:r w:rsidRPr="00310C02">
        <w:rPr>
          <w:rStyle w:val="FootnoteReference"/>
          <w:sz w:val="18"/>
          <w:szCs w:val="18"/>
        </w:rPr>
        <w:footnoteRef/>
      </w:r>
      <w:r w:rsidRPr="00310C02">
        <w:rPr>
          <w:sz w:val="18"/>
          <w:szCs w:val="18"/>
        </w:rPr>
        <w:t xml:space="preserve"> </w:t>
      </w:r>
      <w:r w:rsidRPr="00310C02">
        <w:rPr>
          <w:iCs/>
          <w:sz w:val="18"/>
          <w:szCs w:val="18"/>
        </w:rPr>
        <w:t>Evans v. Arizona</w:t>
      </w:r>
      <w:r w:rsidRPr="00310C02">
        <w:rPr>
          <w:sz w:val="18"/>
          <w:szCs w:val="18"/>
        </w:rPr>
        <w:t>, No. C 26-01030 WHA, 2016 U.S. Dist. LEXIS 86207, at *1 (N.D. Cal. July 1, 2016).</w:t>
      </w:r>
    </w:p>
  </w:footnote>
  <w:footnote w:id="49">
    <w:p w14:paraId="359C88F6" w14:textId="77777777"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 xml:space="preserve">Id. </w:t>
      </w:r>
      <w:r w:rsidRPr="00310C02">
        <w:rPr>
          <w:sz w:val="18"/>
          <w:szCs w:val="18"/>
          <w:lang w:val="da-DK"/>
        </w:rPr>
        <w:t>at *3-4.</w:t>
      </w:r>
    </w:p>
  </w:footnote>
  <w:footnote w:id="50">
    <w:p w14:paraId="513F1949" w14:textId="77777777"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Id.</w:t>
      </w:r>
    </w:p>
  </w:footnote>
  <w:footnote w:id="51">
    <w:p w14:paraId="7CB9F024" w14:textId="77777777"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 xml:space="preserve">Id. </w:t>
      </w:r>
      <w:r w:rsidRPr="00310C02">
        <w:rPr>
          <w:sz w:val="18"/>
          <w:szCs w:val="18"/>
          <w:lang w:val="da-DK"/>
        </w:rPr>
        <w:t>at *4-5.</w:t>
      </w:r>
    </w:p>
  </w:footnote>
  <w:footnote w:id="52">
    <w:p w14:paraId="043E8121" w14:textId="77777777"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Id.</w:t>
      </w:r>
    </w:p>
  </w:footnote>
  <w:footnote w:id="53">
    <w:p w14:paraId="6CEC7FC4" w14:textId="1822EB8F"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Cs/>
          <w:sz w:val="18"/>
          <w:szCs w:val="18"/>
        </w:rPr>
        <w:t>Evans v. Arizona</w:t>
      </w:r>
      <w:r w:rsidRPr="00310C02">
        <w:rPr>
          <w:sz w:val="18"/>
          <w:szCs w:val="18"/>
        </w:rPr>
        <w:t>, No. C 26-01030 WHA, 2016 U.S. Dist. LEXIS 86207, at *6-7 (N.D. Cal. July 1, 2016).</w:t>
      </w:r>
    </w:p>
  </w:footnote>
  <w:footnote w:id="54">
    <w:p w14:paraId="47EE658F" w14:textId="77777777"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Id.</w:t>
      </w:r>
    </w:p>
  </w:footnote>
  <w:footnote w:id="55">
    <w:p w14:paraId="1FBAF365" w14:textId="77777777" w:rsidR="00A175D2" w:rsidRPr="00310C02" w:rsidRDefault="00A175D2" w:rsidP="00117EBC">
      <w:pPr>
        <w:pStyle w:val="FootnoteText"/>
        <w:rPr>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 xml:space="preserve">Id. </w:t>
      </w:r>
      <w:r w:rsidRPr="00310C02">
        <w:rPr>
          <w:sz w:val="18"/>
          <w:szCs w:val="18"/>
          <w:lang w:val="da-DK"/>
        </w:rPr>
        <w:t>at *11-13.</w:t>
      </w:r>
    </w:p>
  </w:footnote>
  <w:footnote w:id="56">
    <w:p w14:paraId="6218385D" w14:textId="77777777" w:rsidR="00A175D2" w:rsidRPr="00310C02" w:rsidRDefault="00A175D2" w:rsidP="00117EBC">
      <w:pPr>
        <w:pStyle w:val="FootnoteText"/>
        <w:rPr>
          <w:sz w:val="18"/>
          <w:szCs w:val="18"/>
        </w:rPr>
      </w:pPr>
      <w:r w:rsidRPr="00310C02">
        <w:rPr>
          <w:rStyle w:val="FootnoteReference"/>
          <w:sz w:val="18"/>
          <w:szCs w:val="18"/>
        </w:rPr>
        <w:footnoteRef/>
      </w:r>
      <w:r w:rsidRPr="00310C02">
        <w:rPr>
          <w:sz w:val="18"/>
          <w:szCs w:val="18"/>
        </w:rPr>
        <w:t xml:space="preserve"> </w:t>
      </w:r>
      <w:r w:rsidRPr="00310C02">
        <w:rPr>
          <w:i/>
          <w:iCs/>
          <w:sz w:val="18"/>
          <w:szCs w:val="18"/>
        </w:rPr>
        <w:t>Id.</w:t>
      </w:r>
    </w:p>
  </w:footnote>
  <w:footnote w:id="57">
    <w:p w14:paraId="56373D59" w14:textId="77777777" w:rsidR="00A175D2" w:rsidRPr="00310C02" w:rsidRDefault="00A175D2" w:rsidP="00117EBC">
      <w:pPr>
        <w:pStyle w:val="FootnoteText"/>
        <w:rPr>
          <w:i/>
          <w:iCs/>
          <w:sz w:val="18"/>
          <w:szCs w:val="18"/>
        </w:rPr>
      </w:pPr>
      <w:r w:rsidRPr="00310C02">
        <w:rPr>
          <w:rStyle w:val="FootnoteReference"/>
          <w:sz w:val="18"/>
          <w:szCs w:val="18"/>
        </w:rPr>
        <w:footnoteRef/>
      </w:r>
      <w:r w:rsidRPr="00310C02">
        <w:rPr>
          <w:sz w:val="18"/>
          <w:szCs w:val="18"/>
        </w:rPr>
        <w:t xml:space="preserve"> </w:t>
      </w:r>
      <w:r w:rsidRPr="00310C02">
        <w:rPr>
          <w:i/>
          <w:iCs/>
          <w:sz w:val="18"/>
          <w:szCs w:val="18"/>
        </w:rPr>
        <w:t>Id.</w:t>
      </w:r>
    </w:p>
  </w:footnote>
  <w:footnote w:id="58">
    <w:p w14:paraId="203958F3" w14:textId="09D5721E" w:rsidR="00A175D2" w:rsidRPr="00310C02" w:rsidRDefault="00A175D2" w:rsidP="00117EBC">
      <w:pPr>
        <w:pStyle w:val="FootnoteText"/>
        <w:rPr>
          <w:i/>
          <w:iCs/>
          <w:sz w:val="18"/>
          <w:szCs w:val="18"/>
        </w:rPr>
      </w:pPr>
      <w:r w:rsidRPr="00310C02">
        <w:rPr>
          <w:rStyle w:val="FootnoteReference"/>
          <w:sz w:val="18"/>
          <w:szCs w:val="18"/>
        </w:rPr>
        <w:footnoteRef/>
      </w:r>
      <w:r w:rsidRPr="00310C02">
        <w:rPr>
          <w:sz w:val="18"/>
          <w:szCs w:val="18"/>
        </w:rPr>
        <w:t xml:space="preserve"> </w:t>
      </w:r>
      <w:r w:rsidRPr="00310C02">
        <w:rPr>
          <w:iCs/>
          <w:sz w:val="18"/>
          <w:szCs w:val="18"/>
        </w:rPr>
        <w:t>Evans v. Arizona</w:t>
      </w:r>
      <w:r w:rsidRPr="00310C02">
        <w:rPr>
          <w:sz w:val="18"/>
          <w:szCs w:val="18"/>
        </w:rPr>
        <w:t>, No. C 26-01030 WHA, 2016 U.S. Dist. LEXIS 86207, at *11-13 (N.D. Cal. July 1, 2016).</w:t>
      </w:r>
    </w:p>
  </w:footnote>
  <w:footnote w:id="59">
    <w:p w14:paraId="53161F0B" w14:textId="77777777" w:rsidR="00A175D2" w:rsidRPr="00310C02" w:rsidRDefault="00A175D2" w:rsidP="00117EBC">
      <w:pPr>
        <w:pStyle w:val="FootnoteText"/>
        <w:rPr>
          <w:i/>
          <w:iCs/>
          <w:sz w:val="18"/>
          <w:szCs w:val="18"/>
        </w:rPr>
      </w:pPr>
      <w:r w:rsidRPr="00310C02">
        <w:rPr>
          <w:rStyle w:val="FootnoteReference"/>
          <w:sz w:val="18"/>
          <w:szCs w:val="18"/>
        </w:rPr>
        <w:footnoteRef/>
      </w:r>
      <w:r w:rsidRPr="00310C02">
        <w:rPr>
          <w:sz w:val="18"/>
          <w:szCs w:val="18"/>
        </w:rPr>
        <w:t xml:space="preserve"> </w:t>
      </w:r>
      <w:r w:rsidRPr="00310C02">
        <w:rPr>
          <w:i/>
          <w:iCs/>
          <w:sz w:val="18"/>
          <w:szCs w:val="18"/>
        </w:rPr>
        <w:t>Id.</w:t>
      </w:r>
    </w:p>
  </w:footnote>
  <w:footnote w:id="60">
    <w:p w14:paraId="12B1CEC0" w14:textId="77777777" w:rsidR="00A175D2" w:rsidRPr="00310C02" w:rsidRDefault="00A175D2" w:rsidP="00117EBC">
      <w:pPr>
        <w:pStyle w:val="FootnoteText"/>
        <w:rPr>
          <w:i/>
          <w:iCs/>
          <w:sz w:val="18"/>
          <w:szCs w:val="18"/>
        </w:rPr>
      </w:pPr>
      <w:r w:rsidRPr="00310C02">
        <w:rPr>
          <w:rStyle w:val="FootnoteReference"/>
          <w:sz w:val="18"/>
          <w:szCs w:val="18"/>
        </w:rPr>
        <w:footnoteRef/>
      </w:r>
      <w:r w:rsidRPr="00310C02">
        <w:rPr>
          <w:sz w:val="18"/>
          <w:szCs w:val="18"/>
        </w:rPr>
        <w:t xml:space="preserve"> </w:t>
      </w:r>
      <w:r w:rsidRPr="00310C02">
        <w:rPr>
          <w:i/>
          <w:iCs/>
          <w:sz w:val="18"/>
          <w:szCs w:val="18"/>
        </w:rPr>
        <w:t>Id.</w:t>
      </w:r>
    </w:p>
  </w:footnote>
  <w:footnote w:id="61">
    <w:p w14:paraId="4A5568DA" w14:textId="77777777" w:rsidR="00A175D2" w:rsidRPr="00310C02" w:rsidRDefault="00A175D2" w:rsidP="00117EBC">
      <w:pPr>
        <w:pStyle w:val="FootnoteText"/>
        <w:rPr>
          <w:i/>
          <w:iCs/>
          <w:sz w:val="18"/>
          <w:szCs w:val="18"/>
        </w:rPr>
      </w:pPr>
      <w:r w:rsidRPr="00310C02">
        <w:rPr>
          <w:rStyle w:val="FootnoteReference"/>
          <w:sz w:val="18"/>
          <w:szCs w:val="18"/>
        </w:rPr>
        <w:footnoteRef/>
      </w:r>
      <w:r w:rsidRPr="00310C02">
        <w:rPr>
          <w:sz w:val="18"/>
          <w:szCs w:val="18"/>
        </w:rPr>
        <w:t xml:space="preserve"> </w:t>
      </w:r>
      <w:r w:rsidRPr="00310C02">
        <w:rPr>
          <w:i/>
          <w:iCs/>
          <w:sz w:val="18"/>
          <w:szCs w:val="18"/>
        </w:rPr>
        <w:t>Id.</w:t>
      </w:r>
    </w:p>
  </w:footnote>
  <w:footnote w:id="62">
    <w:p w14:paraId="49A44983" w14:textId="77777777" w:rsidR="00A175D2" w:rsidRPr="00310C02" w:rsidRDefault="00A175D2" w:rsidP="00117EBC">
      <w:pPr>
        <w:pStyle w:val="FootnoteText"/>
        <w:rPr>
          <w:i/>
          <w:iCs/>
          <w:sz w:val="18"/>
          <w:szCs w:val="18"/>
        </w:rPr>
      </w:pPr>
      <w:r w:rsidRPr="00310C02">
        <w:rPr>
          <w:rStyle w:val="FootnoteReference"/>
          <w:sz w:val="18"/>
          <w:szCs w:val="18"/>
        </w:rPr>
        <w:footnoteRef/>
      </w:r>
      <w:r w:rsidRPr="00310C02">
        <w:rPr>
          <w:sz w:val="18"/>
          <w:szCs w:val="18"/>
        </w:rPr>
        <w:t xml:space="preserve"> </w:t>
      </w:r>
      <w:r w:rsidRPr="00310C02">
        <w:rPr>
          <w:i/>
          <w:iCs/>
          <w:sz w:val="18"/>
          <w:szCs w:val="18"/>
        </w:rPr>
        <w:t>Id.</w:t>
      </w:r>
    </w:p>
  </w:footnote>
  <w:footnote w:id="63">
    <w:p w14:paraId="3EA50A05" w14:textId="1AA71135" w:rsidR="00A175D2" w:rsidRPr="00310C02" w:rsidRDefault="00A175D2" w:rsidP="00117EBC">
      <w:pPr>
        <w:pStyle w:val="FootnoteText"/>
        <w:rPr>
          <w:i/>
          <w:iCs/>
          <w:sz w:val="18"/>
          <w:szCs w:val="18"/>
        </w:rPr>
      </w:pPr>
      <w:r w:rsidRPr="00310C02">
        <w:rPr>
          <w:rStyle w:val="FootnoteReference"/>
          <w:sz w:val="18"/>
          <w:szCs w:val="18"/>
        </w:rPr>
        <w:footnoteRef/>
      </w:r>
      <w:r w:rsidRPr="00310C02">
        <w:rPr>
          <w:sz w:val="18"/>
          <w:szCs w:val="18"/>
        </w:rPr>
        <w:t xml:space="preserve"> </w:t>
      </w:r>
      <w:r w:rsidRPr="00310C02">
        <w:rPr>
          <w:i/>
          <w:iCs/>
          <w:sz w:val="18"/>
          <w:szCs w:val="18"/>
        </w:rPr>
        <w:t>Id.</w:t>
      </w:r>
    </w:p>
  </w:footnote>
  <w:footnote w:id="64">
    <w:p w14:paraId="5C7E3D14" w14:textId="7BA14BFE" w:rsidR="00A175D2" w:rsidRPr="00310C02" w:rsidRDefault="00A175D2" w:rsidP="00117EBC">
      <w:pPr>
        <w:pStyle w:val="FootnoteText"/>
        <w:rPr>
          <w:i/>
          <w:iCs/>
          <w:sz w:val="18"/>
          <w:szCs w:val="18"/>
        </w:rPr>
      </w:pPr>
      <w:r w:rsidRPr="00310C02">
        <w:rPr>
          <w:rStyle w:val="FootnoteReference"/>
          <w:sz w:val="18"/>
          <w:szCs w:val="18"/>
        </w:rPr>
        <w:footnoteRef/>
      </w:r>
      <w:r w:rsidRPr="00310C02">
        <w:rPr>
          <w:sz w:val="18"/>
          <w:szCs w:val="18"/>
        </w:rPr>
        <w:t xml:space="preserve"> </w:t>
      </w:r>
      <w:r w:rsidRPr="00A175D2">
        <w:rPr>
          <w:iCs/>
          <w:sz w:val="18"/>
          <w:szCs w:val="18"/>
        </w:rPr>
        <w:t>Evans v. Arizona</w:t>
      </w:r>
      <w:r w:rsidRPr="00310C02">
        <w:rPr>
          <w:sz w:val="18"/>
          <w:szCs w:val="18"/>
        </w:rPr>
        <w:t>, No. C 26-01030 WHA, 2016 U.S. Dist. LEXIS 86207, at *11-13 (N.D. Cal. July 1, 2016)</w:t>
      </w:r>
      <w:r w:rsidRPr="00310C02">
        <w:rPr>
          <w:i/>
          <w:iCs/>
          <w:sz w:val="18"/>
          <w:szCs w:val="18"/>
        </w:rPr>
        <w:t>.</w:t>
      </w:r>
    </w:p>
  </w:footnote>
  <w:footnote w:id="65">
    <w:p w14:paraId="71FA0B3E" w14:textId="5F8E76E0" w:rsidR="00A175D2" w:rsidRPr="00310C02" w:rsidRDefault="00A175D2" w:rsidP="00117EBC">
      <w:pPr>
        <w:pStyle w:val="FootnoteText"/>
        <w:rPr>
          <w:sz w:val="18"/>
          <w:szCs w:val="18"/>
        </w:rPr>
      </w:pPr>
      <w:r w:rsidRPr="00310C02">
        <w:rPr>
          <w:rStyle w:val="FootnoteReference"/>
          <w:sz w:val="18"/>
          <w:szCs w:val="18"/>
        </w:rPr>
        <w:footnoteRef/>
      </w:r>
      <w:r w:rsidRPr="00310C02">
        <w:rPr>
          <w:sz w:val="18"/>
          <w:szCs w:val="18"/>
        </w:rPr>
        <w:t xml:space="preserve"> </w:t>
      </w:r>
      <w:r w:rsidRPr="00A175D2">
        <w:rPr>
          <w:iCs/>
          <w:sz w:val="18"/>
          <w:szCs w:val="18"/>
        </w:rPr>
        <w:t xml:space="preserve">Dent v. </w:t>
      </w:r>
      <w:proofErr w:type="spellStart"/>
      <w:r w:rsidRPr="00A175D2">
        <w:rPr>
          <w:rFonts w:eastAsia="Times New Roman" w:cs="Times New Roman"/>
          <w:sz w:val="18"/>
          <w:szCs w:val="18"/>
          <w:lang w:eastAsia="zh-CN"/>
        </w:rPr>
        <w:t>Nat’l</w:t>
      </w:r>
      <w:proofErr w:type="spellEnd"/>
      <w:r w:rsidRPr="00A175D2">
        <w:rPr>
          <w:rFonts w:eastAsia="Times New Roman" w:cs="Times New Roman"/>
          <w:sz w:val="18"/>
          <w:szCs w:val="18"/>
          <w:lang w:eastAsia="zh-CN"/>
        </w:rPr>
        <w:t xml:space="preserve"> Football League</w:t>
      </w:r>
      <w:r w:rsidRPr="00310C02">
        <w:rPr>
          <w:sz w:val="18"/>
          <w:szCs w:val="18"/>
        </w:rPr>
        <w:t>, 902 F.3d 1109, 1114 (9th Cir. 2018).</w:t>
      </w:r>
    </w:p>
  </w:footnote>
  <w:footnote w:id="66">
    <w:p w14:paraId="208E47B4" w14:textId="77777777"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 xml:space="preserve">Id. </w:t>
      </w:r>
      <w:r w:rsidRPr="00310C02">
        <w:rPr>
          <w:sz w:val="18"/>
          <w:szCs w:val="18"/>
          <w:lang w:val="da-DK"/>
        </w:rPr>
        <w:t>at 1115.</w:t>
      </w:r>
    </w:p>
  </w:footnote>
  <w:footnote w:id="67">
    <w:p w14:paraId="0D6199BD" w14:textId="77777777"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Id.</w:t>
      </w:r>
    </w:p>
  </w:footnote>
  <w:footnote w:id="68">
    <w:p w14:paraId="745396DD" w14:textId="77777777"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 xml:space="preserve">Id. </w:t>
      </w:r>
      <w:r w:rsidRPr="00310C02">
        <w:rPr>
          <w:sz w:val="18"/>
          <w:szCs w:val="18"/>
          <w:lang w:val="da-DK"/>
        </w:rPr>
        <w:t>at 1117.</w:t>
      </w:r>
    </w:p>
  </w:footnote>
  <w:footnote w:id="69">
    <w:p w14:paraId="45CF86C2" w14:textId="77777777"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Id.</w:t>
      </w:r>
    </w:p>
  </w:footnote>
  <w:footnote w:id="70">
    <w:p w14:paraId="45719EA9" w14:textId="06146EA2"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A175D2">
        <w:rPr>
          <w:iCs/>
          <w:sz w:val="18"/>
          <w:szCs w:val="18"/>
        </w:rPr>
        <w:t xml:space="preserve">Dent v. </w:t>
      </w:r>
      <w:proofErr w:type="spellStart"/>
      <w:r w:rsidRPr="00A175D2">
        <w:rPr>
          <w:rFonts w:eastAsia="Times New Roman" w:cs="Times New Roman"/>
          <w:sz w:val="18"/>
          <w:szCs w:val="18"/>
          <w:lang w:eastAsia="zh-CN"/>
        </w:rPr>
        <w:t>Nat’l</w:t>
      </w:r>
      <w:proofErr w:type="spellEnd"/>
      <w:r w:rsidRPr="00A175D2">
        <w:rPr>
          <w:rFonts w:eastAsia="Times New Roman" w:cs="Times New Roman"/>
          <w:sz w:val="18"/>
          <w:szCs w:val="18"/>
          <w:lang w:eastAsia="zh-CN"/>
        </w:rPr>
        <w:t xml:space="preserve"> Football League</w:t>
      </w:r>
      <w:r w:rsidRPr="00310C02">
        <w:rPr>
          <w:sz w:val="18"/>
          <w:szCs w:val="18"/>
        </w:rPr>
        <w:t>, 902 F.3d 1109, 1116 (9th Cir. 2018).</w:t>
      </w:r>
    </w:p>
  </w:footnote>
  <w:footnote w:id="71">
    <w:p w14:paraId="32E09F99" w14:textId="77777777"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Id.</w:t>
      </w:r>
    </w:p>
  </w:footnote>
  <w:footnote w:id="72">
    <w:p w14:paraId="6E578121" w14:textId="77777777"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Id.</w:t>
      </w:r>
    </w:p>
  </w:footnote>
  <w:footnote w:id="73">
    <w:p w14:paraId="2E01B2F2" w14:textId="77777777"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Id.</w:t>
      </w:r>
    </w:p>
  </w:footnote>
  <w:footnote w:id="74">
    <w:p w14:paraId="123AAD62" w14:textId="77777777"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 xml:space="preserve">Id. </w:t>
      </w:r>
      <w:r w:rsidRPr="00310C02">
        <w:rPr>
          <w:sz w:val="18"/>
          <w:szCs w:val="18"/>
          <w:lang w:val="da-DK"/>
        </w:rPr>
        <w:t>at 1117.</w:t>
      </w:r>
    </w:p>
  </w:footnote>
  <w:footnote w:id="75">
    <w:p w14:paraId="701A364E" w14:textId="58BE8D8C"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A175D2">
        <w:rPr>
          <w:iCs/>
          <w:sz w:val="18"/>
          <w:szCs w:val="18"/>
        </w:rPr>
        <w:t xml:space="preserve">Dent v. </w:t>
      </w:r>
      <w:proofErr w:type="spellStart"/>
      <w:r w:rsidRPr="00A175D2">
        <w:rPr>
          <w:rFonts w:eastAsia="Times New Roman" w:cs="Times New Roman"/>
          <w:sz w:val="18"/>
          <w:szCs w:val="18"/>
          <w:lang w:eastAsia="zh-CN"/>
        </w:rPr>
        <w:t>Nat’l</w:t>
      </w:r>
      <w:proofErr w:type="spellEnd"/>
      <w:r w:rsidRPr="00A175D2">
        <w:rPr>
          <w:rFonts w:eastAsia="Times New Roman" w:cs="Times New Roman"/>
          <w:sz w:val="18"/>
          <w:szCs w:val="18"/>
          <w:lang w:eastAsia="zh-CN"/>
        </w:rPr>
        <w:t xml:space="preserve"> Football League</w:t>
      </w:r>
      <w:r w:rsidRPr="00310C02">
        <w:rPr>
          <w:sz w:val="18"/>
          <w:szCs w:val="18"/>
        </w:rPr>
        <w:t>, 902 F.3d 1109, 1117 (9th Cir. 2018).</w:t>
      </w:r>
    </w:p>
  </w:footnote>
  <w:footnote w:id="76">
    <w:p w14:paraId="38A246E5" w14:textId="77777777" w:rsidR="00A175D2" w:rsidRPr="00310C02" w:rsidRDefault="00A175D2" w:rsidP="00117EBC">
      <w:pPr>
        <w:pStyle w:val="FootnoteText"/>
        <w:rPr>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 xml:space="preserve">Id. </w:t>
      </w:r>
      <w:r w:rsidRPr="00310C02">
        <w:rPr>
          <w:sz w:val="18"/>
          <w:szCs w:val="18"/>
          <w:lang w:val="da-DK"/>
        </w:rPr>
        <w:t>at 1119.</w:t>
      </w:r>
    </w:p>
  </w:footnote>
  <w:footnote w:id="77">
    <w:p w14:paraId="4486A312" w14:textId="77777777"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Id.</w:t>
      </w:r>
    </w:p>
  </w:footnote>
  <w:footnote w:id="78">
    <w:p w14:paraId="515AD7E3" w14:textId="3A57B13F" w:rsidR="00A175D2" w:rsidRPr="00310C02" w:rsidRDefault="00A175D2">
      <w:pPr>
        <w:pStyle w:val="FootnoteText"/>
        <w:rPr>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Id.</w:t>
      </w:r>
      <w:r w:rsidRPr="00310C02">
        <w:rPr>
          <w:sz w:val="18"/>
          <w:szCs w:val="18"/>
          <w:lang w:val="da-DK"/>
        </w:rPr>
        <w:t xml:space="preserve"> at 1118. </w:t>
      </w:r>
    </w:p>
  </w:footnote>
  <w:footnote w:id="79">
    <w:p w14:paraId="7C2AC83F" w14:textId="5BCD575D" w:rsidR="00A175D2" w:rsidRPr="00310C02" w:rsidRDefault="00A175D2" w:rsidP="00117EBC">
      <w:pPr>
        <w:pStyle w:val="FootnoteText"/>
        <w:rPr>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Id.</w:t>
      </w:r>
    </w:p>
  </w:footnote>
  <w:footnote w:id="80">
    <w:p w14:paraId="10510982" w14:textId="144F82A1"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A175D2">
        <w:rPr>
          <w:iCs/>
          <w:sz w:val="18"/>
          <w:szCs w:val="18"/>
        </w:rPr>
        <w:t xml:space="preserve">Dent v. </w:t>
      </w:r>
      <w:proofErr w:type="spellStart"/>
      <w:r w:rsidRPr="00A175D2">
        <w:rPr>
          <w:rFonts w:eastAsia="Times New Roman" w:cs="Times New Roman"/>
          <w:sz w:val="18"/>
          <w:szCs w:val="18"/>
          <w:lang w:eastAsia="zh-CN"/>
        </w:rPr>
        <w:t>Nat’l</w:t>
      </w:r>
      <w:proofErr w:type="spellEnd"/>
      <w:r w:rsidRPr="00A175D2">
        <w:rPr>
          <w:rFonts w:eastAsia="Times New Roman" w:cs="Times New Roman"/>
          <w:sz w:val="18"/>
          <w:szCs w:val="18"/>
          <w:lang w:eastAsia="zh-CN"/>
        </w:rPr>
        <w:t xml:space="preserve"> Football League</w:t>
      </w:r>
      <w:r w:rsidRPr="00310C02">
        <w:rPr>
          <w:sz w:val="18"/>
          <w:szCs w:val="18"/>
        </w:rPr>
        <w:t>, 902 F.3d 1109, 1118 (9th Cir. 2018).</w:t>
      </w:r>
    </w:p>
  </w:footnote>
  <w:footnote w:id="81">
    <w:p w14:paraId="0FE67401" w14:textId="77777777"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Id.</w:t>
      </w:r>
    </w:p>
  </w:footnote>
  <w:footnote w:id="82">
    <w:p w14:paraId="16FD118C" w14:textId="77777777"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Id.</w:t>
      </w:r>
    </w:p>
  </w:footnote>
  <w:footnote w:id="83">
    <w:p w14:paraId="0596F0C5" w14:textId="77777777"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Id.</w:t>
      </w:r>
    </w:p>
  </w:footnote>
  <w:footnote w:id="84">
    <w:p w14:paraId="0A9F5EEE" w14:textId="77777777"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Id.</w:t>
      </w:r>
    </w:p>
  </w:footnote>
  <w:footnote w:id="85">
    <w:p w14:paraId="1F098E21" w14:textId="79C99006"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A175D2">
        <w:rPr>
          <w:iCs/>
          <w:sz w:val="18"/>
          <w:szCs w:val="18"/>
        </w:rPr>
        <w:t xml:space="preserve">Dent v. </w:t>
      </w:r>
      <w:proofErr w:type="spellStart"/>
      <w:r w:rsidRPr="00A175D2">
        <w:rPr>
          <w:rFonts w:eastAsia="Times New Roman" w:cs="Times New Roman"/>
          <w:sz w:val="18"/>
          <w:szCs w:val="18"/>
          <w:lang w:eastAsia="zh-CN"/>
        </w:rPr>
        <w:t>Nat’l</w:t>
      </w:r>
      <w:proofErr w:type="spellEnd"/>
      <w:r w:rsidRPr="00A175D2">
        <w:rPr>
          <w:rFonts w:eastAsia="Times New Roman" w:cs="Times New Roman"/>
          <w:sz w:val="18"/>
          <w:szCs w:val="18"/>
          <w:lang w:eastAsia="zh-CN"/>
        </w:rPr>
        <w:t xml:space="preserve"> Football League</w:t>
      </w:r>
      <w:r w:rsidRPr="00310C02">
        <w:rPr>
          <w:sz w:val="18"/>
          <w:szCs w:val="18"/>
        </w:rPr>
        <w:t>, 902 F.3d 1109, 1122 (9th Cir. 2018).</w:t>
      </w:r>
    </w:p>
  </w:footnote>
  <w:footnote w:id="86">
    <w:p w14:paraId="4C9E4E45" w14:textId="77777777" w:rsidR="00A175D2" w:rsidRPr="00310C02" w:rsidRDefault="00A175D2" w:rsidP="00117EBC">
      <w:pPr>
        <w:pStyle w:val="FootnoteText"/>
        <w:rPr>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 xml:space="preserve">Id. </w:t>
      </w:r>
      <w:r w:rsidRPr="00310C02">
        <w:rPr>
          <w:sz w:val="18"/>
          <w:szCs w:val="18"/>
          <w:lang w:val="da-DK"/>
        </w:rPr>
        <w:t>at 1118-20.</w:t>
      </w:r>
    </w:p>
  </w:footnote>
  <w:footnote w:id="87">
    <w:p w14:paraId="702D9570" w14:textId="77777777" w:rsidR="00A175D2" w:rsidRPr="00310C02" w:rsidRDefault="00A175D2" w:rsidP="00117EBC">
      <w:pPr>
        <w:pStyle w:val="FootnoteText"/>
        <w:rPr>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 xml:space="preserve">Id. </w:t>
      </w:r>
      <w:r w:rsidRPr="00310C02">
        <w:rPr>
          <w:sz w:val="18"/>
          <w:szCs w:val="18"/>
          <w:lang w:val="da-DK"/>
        </w:rPr>
        <w:t>at 1118.</w:t>
      </w:r>
    </w:p>
  </w:footnote>
  <w:footnote w:id="88">
    <w:p w14:paraId="1FCAEADE" w14:textId="77777777"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 xml:space="preserve">Id. </w:t>
      </w:r>
      <w:r w:rsidRPr="00310C02">
        <w:rPr>
          <w:sz w:val="18"/>
          <w:szCs w:val="18"/>
          <w:lang w:val="da-DK"/>
        </w:rPr>
        <w:t>at 1119.</w:t>
      </w:r>
    </w:p>
  </w:footnote>
  <w:footnote w:id="89">
    <w:p w14:paraId="46A0FFD2" w14:textId="77777777"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Id.</w:t>
      </w:r>
    </w:p>
  </w:footnote>
  <w:footnote w:id="90">
    <w:p w14:paraId="2982E578" w14:textId="0FD40FE3"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A175D2">
        <w:rPr>
          <w:iCs/>
          <w:sz w:val="18"/>
          <w:szCs w:val="18"/>
        </w:rPr>
        <w:t xml:space="preserve">Dent v. </w:t>
      </w:r>
      <w:proofErr w:type="spellStart"/>
      <w:r w:rsidRPr="00A175D2">
        <w:rPr>
          <w:rFonts w:eastAsia="Times New Roman" w:cs="Times New Roman"/>
          <w:sz w:val="18"/>
          <w:szCs w:val="18"/>
          <w:lang w:eastAsia="zh-CN"/>
        </w:rPr>
        <w:t>Nat’l</w:t>
      </w:r>
      <w:proofErr w:type="spellEnd"/>
      <w:r w:rsidRPr="00A175D2">
        <w:rPr>
          <w:rFonts w:eastAsia="Times New Roman" w:cs="Times New Roman"/>
          <w:sz w:val="18"/>
          <w:szCs w:val="18"/>
          <w:lang w:eastAsia="zh-CN"/>
        </w:rPr>
        <w:t xml:space="preserve"> Football League</w:t>
      </w:r>
      <w:r w:rsidRPr="00310C02">
        <w:rPr>
          <w:sz w:val="18"/>
          <w:szCs w:val="18"/>
        </w:rPr>
        <w:t>, 902 F.3d 1109, 1119 (9th Cir. 2018)</w:t>
      </w:r>
      <w:r w:rsidRPr="00310C02">
        <w:rPr>
          <w:i/>
          <w:iCs/>
          <w:sz w:val="18"/>
          <w:szCs w:val="18"/>
          <w:lang w:val="da-DK"/>
        </w:rPr>
        <w:t>.</w:t>
      </w:r>
    </w:p>
  </w:footnote>
  <w:footnote w:id="91">
    <w:p w14:paraId="1DA9FFB1" w14:textId="77777777"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Id.</w:t>
      </w:r>
    </w:p>
  </w:footnote>
  <w:footnote w:id="92">
    <w:p w14:paraId="1DC2EDA3" w14:textId="77777777" w:rsidR="00A175D2" w:rsidRPr="00310C02" w:rsidRDefault="00A175D2" w:rsidP="00117EBC">
      <w:pPr>
        <w:pStyle w:val="FootnoteText"/>
        <w:rPr>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 xml:space="preserve">Id. </w:t>
      </w:r>
      <w:r w:rsidRPr="00310C02">
        <w:rPr>
          <w:sz w:val="18"/>
          <w:szCs w:val="18"/>
          <w:lang w:val="da-DK"/>
        </w:rPr>
        <w:t>at 1121.</w:t>
      </w:r>
    </w:p>
  </w:footnote>
  <w:footnote w:id="93">
    <w:p w14:paraId="5A2352DD" w14:textId="77777777" w:rsidR="00A175D2" w:rsidRPr="00310C02" w:rsidRDefault="00A175D2" w:rsidP="00117EBC">
      <w:pPr>
        <w:pStyle w:val="FootnoteText"/>
        <w:rPr>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 xml:space="preserve">Id. </w:t>
      </w:r>
      <w:r w:rsidRPr="00310C02">
        <w:rPr>
          <w:sz w:val="18"/>
          <w:szCs w:val="18"/>
          <w:lang w:val="da-DK"/>
        </w:rPr>
        <w:t>at 1122-23.</w:t>
      </w:r>
    </w:p>
  </w:footnote>
  <w:footnote w:id="94">
    <w:p w14:paraId="182EE186" w14:textId="77777777" w:rsidR="00A175D2" w:rsidRPr="00310C02" w:rsidRDefault="00A175D2" w:rsidP="00117EBC">
      <w:pPr>
        <w:pStyle w:val="FootnoteText"/>
        <w:rPr>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 xml:space="preserve">Id. </w:t>
      </w:r>
      <w:r w:rsidRPr="00310C02">
        <w:rPr>
          <w:sz w:val="18"/>
          <w:szCs w:val="18"/>
          <w:lang w:val="da-DK"/>
        </w:rPr>
        <w:t>at 1123-25.</w:t>
      </w:r>
    </w:p>
  </w:footnote>
  <w:footnote w:id="95">
    <w:p w14:paraId="598E811C" w14:textId="2926DA8A"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A175D2">
        <w:rPr>
          <w:iCs/>
          <w:sz w:val="18"/>
          <w:szCs w:val="18"/>
        </w:rPr>
        <w:t xml:space="preserve">Dent v. </w:t>
      </w:r>
      <w:proofErr w:type="spellStart"/>
      <w:r w:rsidRPr="00A175D2">
        <w:rPr>
          <w:rFonts w:eastAsia="Times New Roman" w:cs="Times New Roman"/>
          <w:sz w:val="18"/>
          <w:szCs w:val="18"/>
          <w:lang w:eastAsia="zh-CN"/>
        </w:rPr>
        <w:t>Nat’l</w:t>
      </w:r>
      <w:proofErr w:type="spellEnd"/>
      <w:r w:rsidRPr="00A175D2">
        <w:rPr>
          <w:rFonts w:eastAsia="Times New Roman" w:cs="Times New Roman"/>
          <w:sz w:val="18"/>
          <w:szCs w:val="18"/>
          <w:lang w:eastAsia="zh-CN"/>
        </w:rPr>
        <w:t xml:space="preserve"> Football League</w:t>
      </w:r>
      <w:r w:rsidRPr="00310C02">
        <w:rPr>
          <w:sz w:val="18"/>
          <w:szCs w:val="18"/>
        </w:rPr>
        <w:t>, 902 F.3d 1109, 1123-25 (9th Cir. 2018)</w:t>
      </w:r>
      <w:r w:rsidRPr="00310C02">
        <w:rPr>
          <w:i/>
          <w:iCs/>
          <w:sz w:val="18"/>
          <w:szCs w:val="18"/>
          <w:lang w:val="da-DK"/>
        </w:rPr>
        <w:t>.</w:t>
      </w:r>
    </w:p>
  </w:footnote>
  <w:footnote w:id="96">
    <w:p w14:paraId="4AFBE830" w14:textId="77777777"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Id.</w:t>
      </w:r>
    </w:p>
  </w:footnote>
  <w:footnote w:id="97">
    <w:p w14:paraId="3D074B2F" w14:textId="77777777"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Id.</w:t>
      </w:r>
    </w:p>
  </w:footnote>
  <w:footnote w:id="98">
    <w:p w14:paraId="5BDC2A6E" w14:textId="77777777" w:rsidR="00A175D2" w:rsidRPr="00310C02" w:rsidRDefault="00A175D2" w:rsidP="00117EBC">
      <w:pPr>
        <w:pStyle w:val="FootnoteText"/>
        <w:rPr>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 xml:space="preserve">Id. </w:t>
      </w:r>
    </w:p>
  </w:footnote>
  <w:footnote w:id="99">
    <w:p w14:paraId="2854AE6E" w14:textId="77777777"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 xml:space="preserve">Id. </w:t>
      </w:r>
      <w:r w:rsidRPr="00310C02">
        <w:rPr>
          <w:sz w:val="18"/>
          <w:szCs w:val="18"/>
          <w:lang w:val="da-DK"/>
        </w:rPr>
        <w:t>at 1125.</w:t>
      </w:r>
    </w:p>
  </w:footnote>
  <w:footnote w:id="100">
    <w:p w14:paraId="53B47E16" w14:textId="0C5C7625"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A175D2">
        <w:rPr>
          <w:iCs/>
          <w:sz w:val="18"/>
          <w:szCs w:val="18"/>
        </w:rPr>
        <w:t xml:space="preserve">Dent v. </w:t>
      </w:r>
      <w:proofErr w:type="spellStart"/>
      <w:r w:rsidRPr="00A175D2">
        <w:rPr>
          <w:rFonts w:eastAsia="Times New Roman" w:cs="Times New Roman"/>
          <w:sz w:val="18"/>
          <w:szCs w:val="18"/>
          <w:lang w:eastAsia="zh-CN"/>
        </w:rPr>
        <w:t>Nat’l</w:t>
      </w:r>
      <w:proofErr w:type="spellEnd"/>
      <w:r w:rsidRPr="00A175D2">
        <w:rPr>
          <w:rFonts w:eastAsia="Times New Roman" w:cs="Times New Roman"/>
          <w:sz w:val="18"/>
          <w:szCs w:val="18"/>
          <w:lang w:eastAsia="zh-CN"/>
        </w:rPr>
        <w:t xml:space="preserve"> Football League</w:t>
      </w:r>
      <w:r w:rsidRPr="00310C02">
        <w:rPr>
          <w:sz w:val="18"/>
          <w:szCs w:val="18"/>
        </w:rPr>
        <w:t>, 902 F.3d 1109, 1125 (9th Cir. 2018).</w:t>
      </w:r>
    </w:p>
  </w:footnote>
  <w:footnote w:id="101">
    <w:p w14:paraId="4E5600D0" w14:textId="77777777"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 xml:space="preserve">Id. </w:t>
      </w:r>
    </w:p>
  </w:footnote>
  <w:footnote w:id="102">
    <w:p w14:paraId="5469F7D7" w14:textId="77777777"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Id.</w:t>
      </w:r>
    </w:p>
  </w:footnote>
  <w:footnote w:id="103">
    <w:p w14:paraId="0055C981" w14:textId="77777777"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 xml:space="preserve">Id. </w:t>
      </w:r>
    </w:p>
  </w:footnote>
  <w:footnote w:id="104">
    <w:p w14:paraId="761FF788" w14:textId="77777777"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Id.</w:t>
      </w:r>
    </w:p>
  </w:footnote>
  <w:footnote w:id="105">
    <w:p w14:paraId="436819EA" w14:textId="545E08DD"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A175D2">
        <w:rPr>
          <w:rFonts w:cs="Times New Roman"/>
          <w:iCs/>
          <w:sz w:val="18"/>
          <w:szCs w:val="18"/>
        </w:rPr>
        <w:t xml:space="preserve">Dent v. </w:t>
      </w:r>
      <w:proofErr w:type="spellStart"/>
      <w:r w:rsidRPr="00A175D2">
        <w:rPr>
          <w:rFonts w:eastAsia="Times New Roman" w:cs="Times New Roman"/>
          <w:sz w:val="18"/>
          <w:szCs w:val="18"/>
          <w:lang w:eastAsia="zh-CN"/>
        </w:rPr>
        <w:t>Nat’l</w:t>
      </w:r>
      <w:proofErr w:type="spellEnd"/>
      <w:r w:rsidRPr="00A175D2">
        <w:rPr>
          <w:rFonts w:eastAsia="Times New Roman" w:cs="Times New Roman"/>
          <w:sz w:val="18"/>
          <w:szCs w:val="18"/>
          <w:lang w:eastAsia="zh-CN"/>
        </w:rPr>
        <w:t xml:space="preserve"> Football League</w:t>
      </w:r>
      <w:r w:rsidRPr="00310C02">
        <w:rPr>
          <w:sz w:val="18"/>
          <w:szCs w:val="18"/>
        </w:rPr>
        <w:t>, 902 F.3d 1109, 1126 (9th Cir. 2018).</w:t>
      </w:r>
    </w:p>
  </w:footnote>
  <w:footnote w:id="106">
    <w:p w14:paraId="0BB6F177" w14:textId="77777777"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Id.</w:t>
      </w:r>
    </w:p>
  </w:footnote>
  <w:footnote w:id="107">
    <w:p w14:paraId="045A1257" w14:textId="77777777"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Id.</w:t>
      </w:r>
    </w:p>
  </w:footnote>
  <w:footnote w:id="108">
    <w:p w14:paraId="0E7E3840" w14:textId="42CF2619" w:rsidR="00A175D2" w:rsidRPr="00310C02" w:rsidRDefault="00A175D2" w:rsidP="00117EBC">
      <w:pPr>
        <w:pStyle w:val="FootnoteText"/>
        <w:rPr>
          <w:sz w:val="18"/>
          <w:szCs w:val="18"/>
          <w:lang w:val="da-DK"/>
        </w:rPr>
      </w:pPr>
      <w:r w:rsidRPr="00310C02">
        <w:rPr>
          <w:rStyle w:val="FootnoteReference"/>
          <w:sz w:val="18"/>
          <w:szCs w:val="18"/>
        </w:rPr>
        <w:footnoteRef/>
      </w:r>
      <w:r w:rsidRPr="00310C02">
        <w:rPr>
          <w:sz w:val="18"/>
          <w:szCs w:val="18"/>
          <w:lang w:val="da-DK"/>
        </w:rPr>
        <w:t xml:space="preserve"> </w:t>
      </w:r>
      <w:r w:rsidRPr="00A175D2">
        <w:rPr>
          <w:iCs/>
          <w:sz w:val="18"/>
          <w:szCs w:val="18"/>
        </w:rPr>
        <w:t xml:space="preserve">Dent v. </w:t>
      </w:r>
      <w:proofErr w:type="spellStart"/>
      <w:r w:rsidRPr="00A175D2">
        <w:rPr>
          <w:rFonts w:eastAsia="Times New Roman" w:cs="Times New Roman"/>
          <w:sz w:val="18"/>
          <w:szCs w:val="18"/>
          <w:lang w:eastAsia="zh-CN"/>
        </w:rPr>
        <w:t>Nat’l</w:t>
      </w:r>
      <w:proofErr w:type="spellEnd"/>
      <w:r w:rsidRPr="00A175D2">
        <w:rPr>
          <w:rFonts w:eastAsia="Times New Roman" w:cs="Times New Roman"/>
          <w:sz w:val="18"/>
          <w:szCs w:val="18"/>
          <w:lang w:eastAsia="zh-CN"/>
        </w:rPr>
        <w:t xml:space="preserve"> Football League</w:t>
      </w:r>
      <w:r w:rsidRPr="00310C02">
        <w:rPr>
          <w:sz w:val="18"/>
          <w:szCs w:val="18"/>
        </w:rPr>
        <w:t xml:space="preserve">, 384 </w:t>
      </w:r>
      <w:r>
        <w:rPr>
          <w:sz w:val="18"/>
          <w:szCs w:val="18"/>
        </w:rPr>
        <w:t>F.Supp.3d</w:t>
      </w:r>
      <w:r w:rsidRPr="00310C02">
        <w:rPr>
          <w:sz w:val="18"/>
          <w:szCs w:val="18"/>
        </w:rPr>
        <w:t xml:space="preserve"> 1022 (N.D. Cal. April 18, 2019).</w:t>
      </w:r>
    </w:p>
  </w:footnote>
  <w:footnote w:id="109">
    <w:p w14:paraId="1B409BE9" w14:textId="77777777"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 xml:space="preserve">Id. </w:t>
      </w:r>
      <w:r w:rsidRPr="00310C02">
        <w:rPr>
          <w:sz w:val="18"/>
          <w:szCs w:val="18"/>
          <w:lang w:val="da-DK"/>
        </w:rPr>
        <w:t>at 1028.</w:t>
      </w:r>
    </w:p>
  </w:footnote>
  <w:footnote w:id="110">
    <w:p w14:paraId="18A9F703" w14:textId="77777777"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Id.</w:t>
      </w:r>
    </w:p>
  </w:footnote>
  <w:footnote w:id="111">
    <w:p w14:paraId="4B75FEDD" w14:textId="77777777"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 xml:space="preserve">Id. </w:t>
      </w:r>
      <w:r w:rsidRPr="00310C02">
        <w:rPr>
          <w:sz w:val="18"/>
          <w:szCs w:val="18"/>
          <w:lang w:val="da-DK"/>
        </w:rPr>
        <w:t>at 1029.</w:t>
      </w:r>
    </w:p>
  </w:footnote>
  <w:footnote w:id="112">
    <w:p w14:paraId="08BF36C9" w14:textId="77777777"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Id.</w:t>
      </w:r>
    </w:p>
  </w:footnote>
  <w:footnote w:id="113">
    <w:p w14:paraId="2AA56FF9" w14:textId="21FEF9FD"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A175D2">
        <w:rPr>
          <w:iCs/>
          <w:sz w:val="18"/>
          <w:szCs w:val="18"/>
        </w:rPr>
        <w:t xml:space="preserve">Dent v. </w:t>
      </w:r>
      <w:proofErr w:type="spellStart"/>
      <w:r w:rsidRPr="00A175D2">
        <w:rPr>
          <w:rFonts w:eastAsia="Times New Roman" w:cs="Times New Roman"/>
          <w:sz w:val="18"/>
          <w:szCs w:val="18"/>
          <w:lang w:eastAsia="zh-CN"/>
        </w:rPr>
        <w:t>Nat’l</w:t>
      </w:r>
      <w:proofErr w:type="spellEnd"/>
      <w:r w:rsidRPr="00A175D2">
        <w:rPr>
          <w:rFonts w:eastAsia="Times New Roman" w:cs="Times New Roman"/>
          <w:sz w:val="18"/>
          <w:szCs w:val="18"/>
          <w:lang w:eastAsia="zh-CN"/>
        </w:rPr>
        <w:t xml:space="preserve"> Football League</w:t>
      </w:r>
      <w:r w:rsidRPr="00310C02">
        <w:rPr>
          <w:sz w:val="18"/>
          <w:szCs w:val="18"/>
        </w:rPr>
        <w:t xml:space="preserve">, 384 </w:t>
      </w:r>
      <w:r>
        <w:rPr>
          <w:sz w:val="18"/>
          <w:szCs w:val="18"/>
        </w:rPr>
        <w:t>F.Supp.3d</w:t>
      </w:r>
      <w:r w:rsidRPr="00310C02">
        <w:rPr>
          <w:sz w:val="18"/>
          <w:szCs w:val="18"/>
        </w:rPr>
        <w:t xml:space="preserve"> 1022, 1029 (N.D. Cal. April 18, 2019).</w:t>
      </w:r>
    </w:p>
  </w:footnote>
  <w:footnote w:id="114">
    <w:p w14:paraId="27C56AB7" w14:textId="77777777"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 xml:space="preserve">Id. </w:t>
      </w:r>
      <w:r w:rsidRPr="00310C02">
        <w:rPr>
          <w:sz w:val="18"/>
          <w:szCs w:val="18"/>
          <w:lang w:val="da-DK"/>
        </w:rPr>
        <w:t>at 1030.</w:t>
      </w:r>
    </w:p>
  </w:footnote>
  <w:footnote w:id="115">
    <w:p w14:paraId="5B9BBE5A" w14:textId="77777777"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 xml:space="preserve">Id. </w:t>
      </w:r>
    </w:p>
  </w:footnote>
  <w:footnote w:id="116">
    <w:p w14:paraId="3A6E670C" w14:textId="58329AC9" w:rsidR="00A175D2" w:rsidRPr="00310C02" w:rsidRDefault="00A175D2">
      <w:pPr>
        <w:pStyle w:val="FootnoteText"/>
        <w:rPr>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 xml:space="preserve">Id. </w:t>
      </w:r>
      <w:r w:rsidRPr="00310C02">
        <w:rPr>
          <w:sz w:val="18"/>
          <w:szCs w:val="18"/>
          <w:lang w:val="da-DK"/>
        </w:rPr>
        <w:t xml:space="preserve">at 1033. </w:t>
      </w:r>
    </w:p>
  </w:footnote>
  <w:footnote w:id="117">
    <w:p w14:paraId="00E274AA" w14:textId="52089ABD"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Id.</w:t>
      </w:r>
    </w:p>
  </w:footnote>
  <w:footnote w:id="118">
    <w:p w14:paraId="0AA25BCD" w14:textId="3A036166"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A175D2">
        <w:rPr>
          <w:iCs/>
          <w:sz w:val="18"/>
          <w:szCs w:val="18"/>
        </w:rPr>
        <w:t xml:space="preserve">Dent v. </w:t>
      </w:r>
      <w:proofErr w:type="spellStart"/>
      <w:r w:rsidRPr="00A175D2">
        <w:rPr>
          <w:rFonts w:eastAsia="Times New Roman" w:cs="Times New Roman"/>
          <w:sz w:val="18"/>
          <w:szCs w:val="18"/>
          <w:lang w:eastAsia="zh-CN"/>
        </w:rPr>
        <w:t>Nat’l</w:t>
      </w:r>
      <w:proofErr w:type="spellEnd"/>
      <w:r w:rsidRPr="00A175D2">
        <w:rPr>
          <w:rFonts w:eastAsia="Times New Roman" w:cs="Times New Roman"/>
          <w:sz w:val="18"/>
          <w:szCs w:val="18"/>
          <w:lang w:eastAsia="zh-CN"/>
        </w:rPr>
        <w:t xml:space="preserve"> Football League</w:t>
      </w:r>
      <w:r w:rsidRPr="00310C02">
        <w:rPr>
          <w:sz w:val="18"/>
          <w:szCs w:val="18"/>
        </w:rPr>
        <w:t xml:space="preserve">, 384 </w:t>
      </w:r>
      <w:r>
        <w:rPr>
          <w:sz w:val="18"/>
          <w:szCs w:val="18"/>
        </w:rPr>
        <w:t>F.Supp.3d</w:t>
      </w:r>
      <w:r w:rsidRPr="00310C02">
        <w:rPr>
          <w:sz w:val="18"/>
          <w:szCs w:val="18"/>
        </w:rPr>
        <w:t xml:space="preserve"> 1022, 1032 (N.D. Cal. April 18, 2019)</w:t>
      </w:r>
      <w:r w:rsidRPr="00310C02">
        <w:rPr>
          <w:sz w:val="18"/>
          <w:szCs w:val="18"/>
          <w:lang w:val="da-DK"/>
        </w:rPr>
        <w:t>.</w:t>
      </w:r>
    </w:p>
  </w:footnote>
  <w:footnote w:id="119">
    <w:p w14:paraId="11A88A3D" w14:textId="77777777" w:rsidR="00A175D2" w:rsidRPr="00310C02" w:rsidRDefault="00A175D2" w:rsidP="00117EBC">
      <w:pPr>
        <w:pStyle w:val="FootnoteText"/>
        <w:rPr>
          <w:i/>
          <w:iCs/>
          <w:sz w:val="18"/>
          <w:szCs w:val="18"/>
        </w:rPr>
      </w:pPr>
      <w:r w:rsidRPr="00310C02">
        <w:rPr>
          <w:rStyle w:val="FootnoteReference"/>
          <w:sz w:val="18"/>
          <w:szCs w:val="18"/>
        </w:rPr>
        <w:footnoteRef/>
      </w:r>
      <w:r w:rsidRPr="00310C02">
        <w:rPr>
          <w:sz w:val="18"/>
          <w:szCs w:val="18"/>
        </w:rPr>
        <w:t xml:space="preserve"> </w:t>
      </w:r>
      <w:r w:rsidRPr="00310C02">
        <w:rPr>
          <w:i/>
          <w:iCs/>
          <w:sz w:val="18"/>
          <w:szCs w:val="18"/>
        </w:rPr>
        <w:t>Id.</w:t>
      </w:r>
    </w:p>
  </w:footnote>
  <w:footnote w:id="120">
    <w:p w14:paraId="09CBFF12" w14:textId="77777777" w:rsidR="00A175D2" w:rsidRPr="00310C02" w:rsidRDefault="00A175D2" w:rsidP="00117EBC">
      <w:pPr>
        <w:pStyle w:val="FootnoteText"/>
        <w:rPr>
          <w:i/>
          <w:iCs/>
          <w:sz w:val="18"/>
          <w:szCs w:val="18"/>
        </w:rPr>
      </w:pPr>
      <w:r w:rsidRPr="00310C02">
        <w:rPr>
          <w:rStyle w:val="FootnoteReference"/>
          <w:sz w:val="18"/>
          <w:szCs w:val="18"/>
        </w:rPr>
        <w:footnoteRef/>
      </w:r>
      <w:r w:rsidRPr="00310C02">
        <w:rPr>
          <w:sz w:val="18"/>
          <w:szCs w:val="18"/>
        </w:rPr>
        <w:t xml:space="preserve"> </w:t>
      </w:r>
      <w:r w:rsidRPr="00310C02">
        <w:rPr>
          <w:i/>
          <w:iCs/>
          <w:sz w:val="18"/>
          <w:szCs w:val="18"/>
        </w:rPr>
        <w:t xml:space="preserve">Id. </w:t>
      </w:r>
      <w:r w:rsidRPr="00310C02">
        <w:rPr>
          <w:sz w:val="18"/>
          <w:szCs w:val="18"/>
        </w:rPr>
        <w:t>at 1035.</w:t>
      </w:r>
    </w:p>
  </w:footnote>
  <w:footnote w:id="121">
    <w:p w14:paraId="72051A82" w14:textId="77777777" w:rsidR="00A175D2" w:rsidRPr="00310C02" w:rsidRDefault="00A175D2" w:rsidP="00117EBC">
      <w:pPr>
        <w:pStyle w:val="FootnoteText"/>
        <w:rPr>
          <w:i/>
          <w:iCs/>
          <w:sz w:val="18"/>
          <w:szCs w:val="18"/>
        </w:rPr>
      </w:pPr>
      <w:r w:rsidRPr="00310C02">
        <w:rPr>
          <w:rStyle w:val="FootnoteReference"/>
          <w:sz w:val="18"/>
          <w:szCs w:val="18"/>
        </w:rPr>
        <w:footnoteRef/>
      </w:r>
      <w:r w:rsidRPr="00310C02">
        <w:rPr>
          <w:sz w:val="18"/>
          <w:szCs w:val="18"/>
        </w:rPr>
        <w:t xml:space="preserve"> </w:t>
      </w:r>
      <w:r w:rsidRPr="00310C02">
        <w:rPr>
          <w:i/>
          <w:iCs/>
          <w:sz w:val="18"/>
          <w:szCs w:val="18"/>
        </w:rPr>
        <w:t>Id.</w:t>
      </w:r>
    </w:p>
  </w:footnote>
  <w:footnote w:id="122">
    <w:p w14:paraId="48D6E1ED" w14:textId="30A744B4" w:rsidR="00A175D2" w:rsidRPr="00310C02" w:rsidRDefault="00A175D2" w:rsidP="00117EBC">
      <w:pPr>
        <w:pStyle w:val="FootnoteText"/>
        <w:rPr>
          <w:sz w:val="18"/>
          <w:szCs w:val="18"/>
        </w:rPr>
      </w:pPr>
      <w:r w:rsidRPr="00310C02">
        <w:rPr>
          <w:rStyle w:val="FootnoteReference"/>
          <w:sz w:val="18"/>
          <w:szCs w:val="18"/>
        </w:rPr>
        <w:footnoteRef/>
      </w:r>
      <w:r w:rsidRPr="00310C02">
        <w:rPr>
          <w:sz w:val="18"/>
          <w:szCs w:val="18"/>
        </w:rPr>
        <w:t xml:space="preserve"> </w:t>
      </w:r>
      <w:r w:rsidRPr="00310C02">
        <w:rPr>
          <w:i/>
          <w:iCs/>
          <w:sz w:val="18"/>
          <w:szCs w:val="18"/>
        </w:rPr>
        <w:t>Id.</w:t>
      </w:r>
      <w:r w:rsidRPr="00310C02">
        <w:rPr>
          <w:sz w:val="18"/>
          <w:szCs w:val="18"/>
        </w:rPr>
        <w:t xml:space="preserve"> at 1022.; </w:t>
      </w:r>
      <w:r w:rsidRPr="00A175D2">
        <w:rPr>
          <w:iCs/>
          <w:sz w:val="18"/>
          <w:szCs w:val="18"/>
        </w:rPr>
        <w:t>Evans v. Arizona</w:t>
      </w:r>
      <w:r w:rsidRPr="00310C02">
        <w:rPr>
          <w:sz w:val="18"/>
          <w:szCs w:val="18"/>
        </w:rPr>
        <w:t>, No. C 26-01030 WHA, 2016 U.S. Dist. LEXIS 86207, at *1 (N.D. Cal. July 1, 2016)</w:t>
      </w:r>
      <w:r w:rsidRPr="00310C02">
        <w:rPr>
          <w:i/>
          <w:iCs/>
          <w:sz w:val="18"/>
          <w:szCs w:val="18"/>
        </w:rPr>
        <w:t>.</w:t>
      </w:r>
    </w:p>
  </w:footnote>
  <w:footnote w:id="123">
    <w:p w14:paraId="76A62A85" w14:textId="0B41CB2B" w:rsidR="00A175D2" w:rsidRPr="00310C02" w:rsidRDefault="00A175D2" w:rsidP="00117EBC">
      <w:pPr>
        <w:pStyle w:val="FootnoteText"/>
        <w:rPr>
          <w:i/>
          <w:iCs/>
          <w:sz w:val="18"/>
          <w:szCs w:val="18"/>
        </w:rPr>
      </w:pPr>
      <w:r w:rsidRPr="00310C02">
        <w:rPr>
          <w:rStyle w:val="FootnoteReference"/>
          <w:sz w:val="18"/>
          <w:szCs w:val="18"/>
        </w:rPr>
        <w:footnoteRef/>
      </w:r>
      <w:r w:rsidRPr="00310C02">
        <w:rPr>
          <w:i/>
          <w:iCs/>
          <w:sz w:val="18"/>
          <w:szCs w:val="18"/>
        </w:rPr>
        <w:t xml:space="preserve"> </w:t>
      </w:r>
      <w:r w:rsidRPr="00A175D2">
        <w:rPr>
          <w:iCs/>
          <w:sz w:val="18"/>
          <w:szCs w:val="18"/>
        </w:rPr>
        <w:t xml:space="preserve">Dent v. </w:t>
      </w:r>
      <w:proofErr w:type="spellStart"/>
      <w:r w:rsidRPr="00A175D2">
        <w:rPr>
          <w:rFonts w:eastAsia="Times New Roman" w:cs="Times New Roman"/>
          <w:sz w:val="18"/>
          <w:szCs w:val="18"/>
          <w:lang w:eastAsia="zh-CN"/>
        </w:rPr>
        <w:t>Nat’l</w:t>
      </w:r>
      <w:proofErr w:type="spellEnd"/>
      <w:r w:rsidRPr="00A175D2">
        <w:rPr>
          <w:rFonts w:eastAsia="Times New Roman" w:cs="Times New Roman"/>
          <w:sz w:val="18"/>
          <w:szCs w:val="18"/>
          <w:lang w:eastAsia="zh-CN"/>
        </w:rPr>
        <w:t xml:space="preserve"> Football League</w:t>
      </w:r>
      <w:r w:rsidRPr="00310C02">
        <w:rPr>
          <w:sz w:val="18"/>
          <w:szCs w:val="18"/>
        </w:rPr>
        <w:t xml:space="preserve">, 384 </w:t>
      </w:r>
      <w:r>
        <w:rPr>
          <w:sz w:val="18"/>
          <w:szCs w:val="18"/>
        </w:rPr>
        <w:t>F.Supp.3d</w:t>
      </w:r>
      <w:r w:rsidRPr="00310C02">
        <w:rPr>
          <w:sz w:val="18"/>
          <w:szCs w:val="18"/>
        </w:rPr>
        <w:t xml:space="preserve"> 1022 (N.D. Cal. April 18, 2019)</w:t>
      </w:r>
      <w:r w:rsidRPr="00310C02">
        <w:rPr>
          <w:i/>
          <w:iCs/>
          <w:sz w:val="18"/>
          <w:szCs w:val="18"/>
        </w:rPr>
        <w:t xml:space="preserve">. </w:t>
      </w:r>
    </w:p>
  </w:footnote>
  <w:footnote w:id="124">
    <w:p w14:paraId="5FBA1FF5" w14:textId="77777777" w:rsidR="00A175D2" w:rsidRPr="00310C02" w:rsidRDefault="00A175D2" w:rsidP="00117EBC">
      <w:pPr>
        <w:pStyle w:val="FootnoteText"/>
        <w:rPr>
          <w:i/>
          <w:iCs/>
          <w:sz w:val="18"/>
          <w:szCs w:val="18"/>
        </w:rPr>
      </w:pPr>
      <w:r w:rsidRPr="00310C02">
        <w:rPr>
          <w:rStyle w:val="FootnoteReference"/>
          <w:sz w:val="18"/>
          <w:szCs w:val="18"/>
        </w:rPr>
        <w:footnoteRef/>
      </w:r>
      <w:r w:rsidRPr="00310C02">
        <w:rPr>
          <w:sz w:val="18"/>
          <w:szCs w:val="18"/>
        </w:rPr>
        <w:t xml:space="preserve"> </w:t>
      </w:r>
      <w:r w:rsidRPr="00310C02">
        <w:rPr>
          <w:i/>
          <w:iCs/>
          <w:sz w:val="18"/>
          <w:szCs w:val="18"/>
        </w:rPr>
        <w:t>Id.</w:t>
      </w:r>
    </w:p>
  </w:footnote>
  <w:footnote w:id="125">
    <w:p w14:paraId="0268ECB9" w14:textId="40D6029F" w:rsidR="00A175D2" w:rsidRPr="00310C02" w:rsidRDefault="00A175D2" w:rsidP="00117EBC">
      <w:pPr>
        <w:pStyle w:val="FootnoteText"/>
        <w:rPr>
          <w:i/>
          <w:iCs/>
          <w:sz w:val="18"/>
          <w:szCs w:val="18"/>
        </w:rPr>
      </w:pPr>
      <w:r w:rsidRPr="00310C02">
        <w:rPr>
          <w:rStyle w:val="FootnoteReference"/>
          <w:sz w:val="18"/>
          <w:szCs w:val="18"/>
        </w:rPr>
        <w:footnoteRef/>
      </w:r>
      <w:r w:rsidRPr="00310C02">
        <w:rPr>
          <w:sz w:val="18"/>
          <w:szCs w:val="18"/>
        </w:rPr>
        <w:t xml:space="preserve"> </w:t>
      </w:r>
      <w:r w:rsidRPr="00310C02">
        <w:rPr>
          <w:i/>
          <w:iCs/>
          <w:sz w:val="18"/>
          <w:szCs w:val="18"/>
        </w:rPr>
        <w:t>Evans v. Arizona</w:t>
      </w:r>
      <w:r w:rsidRPr="00310C02">
        <w:rPr>
          <w:sz w:val="18"/>
          <w:szCs w:val="18"/>
        </w:rPr>
        <w:t>, No. C 26-01030 WHA, 2016 U.S. Dist. LEXIS 86207, at *13 (N.D. Cal. July 1, 2016).</w:t>
      </w:r>
    </w:p>
  </w:footnote>
  <w:footnote w:id="126">
    <w:p w14:paraId="0E4E2C35" w14:textId="77777777" w:rsidR="00A175D2" w:rsidRPr="00310C02" w:rsidRDefault="00A175D2" w:rsidP="00117EBC">
      <w:pPr>
        <w:pStyle w:val="FootnoteText"/>
        <w:rPr>
          <w:i/>
          <w:iCs/>
          <w:sz w:val="18"/>
          <w:szCs w:val="18"/>
        </w:rPr>
      </w:pPr>
      <w:r w:rsidRPr="00310C02">
        <w:rPr>
          <w:rStyle w:val="FootnoteReference"/>
          <w:sz w:val="18"/>
          <w:szCs w:val="18"/>
        </w:rPr>
        <w:footnoteRef/>
      </w:r>
      <w:r w:rsidRPr="00310C02">
        <w:rPr>
          <w:sz w:val="18"/>
          <w:szCs w:val="18"/>
        </w:rPr>
        <w:t xml:space="preserve"> </w:t>
      </w:r>
      <w:r w:rsidRPr="00310C02">
        <w:rPr>
          <w:i/>
          <w:iCs/>
          <w:sz w:val="18"/>
          <w:szCs w:val="18"/>
        </w:rPr>
        <w:t xml:space="preserve">Id. </w:t>
      </w:r>
      <w:r w:rsidRPr="00310C02">
        <w:rPr>
          <w:sz w:val="18"/>
          <w:szCs w:val="18"/>
        </w:rPr>
        <w:t>at *12.</w:t>
      </w:r>
    </w:p>
  </w:footnote>
  <w:footnote w:id="127">
    <w:p w14:paraId="6802AD2B" w14:textId="77777777" w:rsidR="00A175D2" w:rsidRPr="00310C02" w:rsidRDefault="00A175D2" w:rsidP="00117EBC">
      <w:pPr>
        <w:pStyle w:val="FootnoteText"/>
        <w:rPr>
          <w:i/>
          <w:iCs/>
          <w:sz w:val="18"/>
          <w:szCs w:val="18"/>
        </w:rPr>
      </w:pPr>
      <w:r w:rsidRPr="00310C02">
        <w:rPr>
          <w:rStyle w:val="FootnoteReference"/>
          <w:sz w:val="18"/>
          <w:szCs w:val="18"/>
        </w:rPr>
        <w:footnoteRef/>
      </w:r>
      <w:r w:rsidRPr="00310C02">
        <w:rPr>
          <w:sz w:val="18"/>
          <w:szCs w:val="18"/>
        </w:rPr>
        <w:t xml:space="preserve"> </w:t>
      </w:r>
      <w:r w:rsidRPr="00310C02">
        <w:rPr>
          <w:i/>
          <w:iCs/>
          <w:sz w:val="18"/>
          <w:szCs w:val="18"/>
        </w:rPr>
        <w:t xml:space="preserve">Id. </w:t>
      </w:r>
      <w:r w:rsidRPr="00310C02">
        <w:rPr>
          <w:sz w:val="18"/>
          <w:szCs w:val="18"/>
        </w:rPr>
        <w:t>at *4.</w:t>
      </w:r>
    </w:p>
  </w:footnote>
  <w:footnote w:id="128">
    <w:p w14:paraId="49BA3924" w14:textId="5D69EAF8" w:rsidR="00A175D2" w:rsidRPr="00310C02" w:rsidRDefault="00A175D2" w:rsidP="00117EBC">
      <w:pPr>
        <w:pStyle w:val="FootnoteText"/>
        <w:rPr>
          <w:b/>
          <w:bCs/>
          <w:sz w:val="18"/>
          <w:szCs w:val="18"/>
        </w:rPr>
      </w:pPr>
      <w:r w:rsidRPr="00310C02">
        <w:rPr>
          <w:rStyle w:val="FootnoteReference"/>
          <w:sz w:val="18"/>
          <w:szCs w:val="18"/>
        </w:rPr>
        <w:footnoteRef/>
      </w:r>
      <w:r w:rsidRPr="00310C02">
        <w:rPr>
          <w:sz w:val="18"/>
          <w:szCs w:val="18"/>
        </w:rPr>
        <w:t xml:space="preserve"> </w:t>
      </w:r>
      <w:r w:rsidRPr="00A175D2">
        <w:rPr>
          <w:iCs/>
          <w:sz w:val="18"/>
          <w:szCs w:val="18"/>
        </w:rPr>
        <w:t>Evans v. Arizona Cardinals Football Club, LLC</w:t>
      </w:r>
      <w:r>
        <w:rPr>
          <w:sz w:val="18"/>
          <w:szCs w:val="18"/>
        </w:rPr>
        <w:t>, 262 F.Supp.</w:t>
      </w:r>
      <w:r w:rsidRPr="00310C02">
        <w:rPr>
          <w:sz w:val="18"/>
          <w:szCs w:val="18"/>
        </w:rPr>
        <w:t>3d 935, 942 (N.D. Cal. July 21, 2017).</w:t>
      </w:r>
    </w:p>
  </w:footnote>
  <w:footnote w:id="129">
    <w:p w14:paraId="082EF0D9" w14:textId="77777777" w:rsidR="00A175D2" w:rsidRPr="00310C02" w:rsidRDefault="00A175D2" w:rsidP="00117EBC">
      <w:pPr>
        <w:pStyle w:val="FootnoteText"/>
        <w:rPr>
          <w:i/>
          <w:iCs/>
          <w:sz w:val="18"/>
          <w:szCs w:val="18"/>
        </w:rPr>
      </w:pPr>
      <w:r w:rsidRPr="00310C02">
        <w:rPr>
          <w:rStyle w:val="FootnoteReference"/>
          <w:sz w:val="18"/>
          <w:szCs w:val="18"/>
        </w:rPr>
        <w:footnoteRef/>
      </w:r>
      <w:r w:rsidRPr="00310C02">
        <w:rPr>
          <w:sz w:val="18"/>
          <w:szCs w:val="18"/>
        </w:rPr>
        <w:t xml:space="preserve"> </w:t>
      </w:r>
      <w:r w:rsidRPr="00310C02">
        <w:rPr>
          <w:i/>
          <w:iCs/>
          <w:sz w:val="18"/>
          <w:szCs w:val="18"/>
        </w:rPr>
        <w:t>Id.</w:t>
      </w:r>
    </w:p>
  </w:footnote>
  <w:footnote w:id="130">
    <w:p w14:paraId="0BDA7559" w14:textId="77777777" w:rsidR="00A175D2" w:rsidRPr="00310C02" w:rsidRDefault="00A175D2" w:rsidP="00117EBC">
      <w:pPr>
        <w:pStyle w:val="FootnoteText"/>
        <w:rPr>
          <w:sz w:val="18"/>
          <w:szCs w:val="18"/>
        </w:rPr>
      </w:pPr>
      <w:r w:rsidRPr="00310C02">
        <w:rPr>
          <w:rStyle w:val="FootnoteReference"/>
          <w:sz w:val="18"/>
          <w:szCs w:val="18"/>
        </w:rPr>
        <w:footnoteRef/>
      </w:r>
      <w:r w:rsidRPr="00310C02">
        <w:rPr>
          <w:sz w:val="18"/>
          <w:szCs w:val="18"/>
        </w:rPr>
        <w:t xml:space="preserve"> </w:t>
      </w:r>
      <w:r w:rsidRPr="00310C02">
        <w:rPr>
          <w:i/>
          <w:iCs/>
          <w:sz w:val="18"/>
          <w:szCs w:val="18"/>
        </w:rPr>
        <w:t>Id.</w:t>
      </w:r>
    </w:p>
  </w:footnote>
  <w:footnote w:id="131">
    <w:p w14:paraId="56D499DE" w14:textId="77777777" w:rsidR="00A175D2" w:rsidRPr="00310C02" w:rsidRDefault="00A175D2" w:rsidP="00117EBC">
      <w:pPr>
        <w:pStyle w:val="FootnoteText"/>
        <w:rPr>
          <w:sz w:val="18"/>
          <w:szCs w:val="18"/>
        </w:rPr>
      </w:pPr>
      <w:r w:rsidRPr="00310C02">
        <w:rPr>
          <w:rStyle w:val="FootnoteReference"/>
          <w:sz w:val="18"/>
          <w:szCs w:val="18"/>
        </w:rPr>
        <w:footnoteRef/>
      </w:r>
      <w:r w:rsidRPr="00310C02">
        <w:rPr>
          <w:sz w:val="18"/>
          <w:szCs w:val="18"/>
        </w:rPr>
        <w:t xml:space="preserve"> Associated Press, </w:t>
      </w:r>
      <w:r w:rsidRPr="00310C02">
        <w:rPr>
          <w:i/>
          <w:iCs/>
          <w:sz w:val="18"/>
          <w:szCs w:val="18"/>
        </w:rPr>
        <w:t>Chronology of NFL Labor History Since 1968</w:t>
      </w:r>
      <w:r w:rsidRPr="00310C02">
        <w:rPr>
          <w:sz w:val="18"/>
          <w:szCs w:val="18"/>
        </w:rPr>
        <w:t xml:space="preserve">, </w:t>
      </w:r>
      <w:r w:rsidRPr="00310C02">
        <w:rPr>
          <w:smallCaps/>
          <w:sz w:val="18"/>
          <w:szCs w:val="18"/>
        </w:rPr>
        <w:t>ESPN</w:t>
      </w:r>
      <w:r w:rsidRPr="00310C02">
        <w:rPr>
          <w:sz w:val="18"/>
          <w:szCs w:val="18"/>
        </w:rPr>
        <w:t xml:space="preserve"> (Mar. 3, 2011), https://www.espn.com/nfl/news/story?page=nfl_labor_history. </w:t>
      </w:r>
    </w:p>
  </w:footnote>
  <w:footnote w:id="132">
    <w:p w14:paraId="351FBEE1" w14:textId="75958AC4" w:rsidR="00A175D2" w:rsidRPr="00310C02" w:rsidRDefault="00A175D2" w:rsidP="00117EBC">
      <w:pPr>
        <w:pStyle w:val="FootnoteText"/>
        <w:rPr>
          <w:sz w:val="18"/>
          <w:szCs w:val="18"/>
        </w:rPr>
      </w:pPr>
      <w:r w:rsidRPr="00310C02">
        <w:rPr>
          <w:rStyle w:val="FootnoteReference"/>
          <w:sz w:val="18"/>
          <w:szCs w:val="18"/>
        </w:rPr>
        <w:footnoteRef/>
      </w:r>
      <w:r w:rsidRPr="00310C02">
        <w:rPr>
          <w:sz w:val="18"/>
          <w:szCs w:val="18"/>
        </w:rPr>
        <w:t xml:space="preserve"> </w:t>
      </w:r>
      <w:r w:rsidRPr="00A175D2">
        <w:rPr>
          <w:iCs/>
          <w:sz w:val="18"/>
          <w:szCs w:val="18"/>
        </w:rPr>
        <w:t xml:space="preserve">Dent v. </w:t>
      </w:r>
      <w:proofErr w:type="spellStart"/>
      <w:r w:rsidRPr="00A175D2">
        <w:rPr>
          <w:rFonts w:eastAsia="Times New Roman" w:cs="Times New Roman"/>
          <w:sz w:val="18"/>
          <w:szCs w:val="18"/>
          <w:lang w:eastAsia="zh-CN"/>
        </w:rPr>
        <w:t>Nat’l</w:t>
      </w:r>
      <w:proofErr w:type="spellEnd"/>
      <w:r w:rsidRPr="00A175D2">
        <w:rPr>
          <w:rFonts w:eastAsia="Times New Roman" w:cs="Times New Roman"/>
          <w:sz w:val="18"/>
          <w:szCs w:val="18"/>
          <w:lang w:eastAsia="zh-CN"/>
        </w:rPr>
        <w:t xml:space="preserve"> Football League</w:t>
      </w:r>
      <w:r>
        <w:rPr>
          <w:sz w:val="18"/>
          <w:szCs w:val="18"/>
        </w:rPr>
        <w:t>, 384 F.Supp.</w:t>
      </w:r>
      <w:r w:rsidRPr="00310C02">
        <w:rPr>
          <w:sz w:val="18"/>
          <w:szCs w:val="18"/>
        </w:rPr>
        <w:t xml:space="preserve">3d 1022 (N.D. Cal. April 18, 2019); </w:t>
      </w:r>
      <w:r w:rsidRPr="00A175D2">
        <w:rPr>
          <w:iCs/>
          <w:sz w:val="18"/>
          <w:szCs w:val="18"/>
        </w:rPr>
        <w:t>Evans v. Arizona</w:t>
      </w:r>
      <w:r w:rsidRPr="00310C02">
        <w:rPr>
          <w:sz w:val="18"/>
          <w:szCs w:val="18"/>
        </w:rPr>
        <w:t>, No. C 26-01030 WHA, 2016 U.S. Dist. LEXIS 86207, at *13 (N.D. Cal. July 1, 2016).</w:t>
      </w:r>
    </w:p>
  </w:footnote>
  <w:footnote w:id="133">
    <w:p w14:paraId="1DEA806D" w14:textId="77777777" w:rsidR="00A175D2" w:rsidRPr="00310C02" w:rsidRDefault="00A175D2" w:rsidP="00117EBC">
      <w:pPr>
        <w:pStyle w:val="FootnoteText"/>
        <w:rPr>
          <w:sz w:val="18"/>
          <w:szCs w:val="18"/>
        </w:rPr>
      </w:pPr>
      <w:r w:rsidRPr="00310C02">
        <w:rPr>
          <w:rStyle w:val="FootnoteReference"/>
          <w:sz w:val="18"/>
          <w:szCs w:val="18"/>
        </w:rPr>
        <w:footnoteRef/>
      </w:r>
      <w:r w:rsidRPr="00310C02">
        <w:rPr>
          <w:sz w:val="18"/>
          <w:szCs w:val="18"/>
        </w:rPr>
        <w:t xml:space="preserve"> CNN Library, </w:t>
      </w:r>
      <w:r w:rsidRPr="00310C02">
        <w:rPr>
          <w:i/>
          <w:iCs/>
          <w:sz w:val="18"/>
          <w:szCs w:val="18"/>
        </w:rPr>
        <w:t>NFL Concussions Fast Facts</w:t>
      </w:r>
      <w:r w:rsidRPr="00310C02">
        <w:rPr>
          <w:sz w:val="18"/>
          <w:szCs w:val="18"/>
        </w:rPr>
        <w:t xml:space="preserve">, CNN (Aug. 15, 2019), https://www.cnn.com/2013/08/30/us/nfl-concussions-fast-facts/index.html. </w:t>
      </w:r>
    </w:p>
  </w:footnote>
  <w:footnote w:id="134">
    <w:p w14:paraId="484DA266" w14:textId="77777777" w:rsidR="00A175D2" w:rsidRPr="00310C02" w:rsidRDefault="00A175D2" w:rsidP="00117EBC">
      <w:pPr>
        <w:pStyle w:val="FootnoteText"/>
        <w:rPr>
          <w:i/>
          <w:iCs/>
          <w:sz w:val="18"/>
          <w:szCs w:val="18"/>
        </w:rPr>
      </w:pPr>
      <w:r w:rsidRPr="00310C02">
        <w:rPr>
          <w:rStyle w:val="FootnoteReference"/>
          <w:sz w:val="18"/>
          <w:szCs w:val="18"/>
        </w:rPr>
        <w:footnoteRef/>
      </w:r>
      <w:r w:rsidRPr="00310C02">
        <w:rPr>
          <w:sz w:val="18"/>
          <w:szCs w:val="18"/>
        </w:rPr>
        <w:t xml:space="preserve"> </w:t>
      </w:r>
      <w:r w:rsidRPr="00310C02">
        <w:rPr>
          <w:i/>
          <w:iCs/>
          <w:sz w:val="18"/>
          <w:szCs w:val="18"/>
        </w:rPr>
        <w:t>Id.</w:t>
      </w:r>
    </w:p>
  </w:footnote>
  <w:footnote w:id="135">
    <w:p w14:paraId="655C03DC" w14:textId="77777777" w:rsidR="00A175D2" w:rsidRPr="00310C02" w:rsidRDefault="00A175D2" w:rsidP="00117EBC">
      <w:pPr>
        <w:pStyle w:val="FootnoteText"/>
        <w:rPr>
          <w:i/>
          <w:iCs/>
          <w:sz w:val="18"/>
          <w:szCs w:val="18"/>
        </w:rPr>
      </w:pPr>
      <w:r w:rsidRPr="00310C02">
        <w:rPr>
          <w:rStyle w:val="FootnoteReference"/>
          <w:sz w:val="18"/>
          <w:szCs w:val="18"/>
        </w:rPr>
        <w:footnoteRef/>
      </w:r>
      <w:r w:rsidRPr="00310C02">
        <w:rPr>
          <w:sz w:val="18"/>
          <w:szCs w:val="18"/>
        </w:rPr>
        <w:t xml:space="preserve"> </w:t>
      </w:r>
      <w:r w:rsidRPr="00310C02">
        <w:rPr>
          <w:i/>
          <w:iCs/>
          <w:sz w:val="18"/>
          <w:szCs w:val="18"/>
        </w:rPr>
        <w:t>Id.</w:t>
      </w:r>
    </w:p>
  </w:footnote>
  <w:footnote w:id="136">
    <w:p w14:paraId="160D02D7" w14:textId="77777777" w:rsidR="00A175D2" w:rsidRPr="00310C02" w:rsidRDefault="00A175D2" w:rsidP="00117EBC">
      <w:pPr>
        <w:pStyle w:val="FootnoteText"/>
        <w:rPr>
          <w:sz w:val="18"/>
          <w:szCs w:val="18"/>
        </w:rPr>
      </w:pPr>
      <w:r w:rsidRPr="00310C02">
        <w:rPr>
          <w:rStyle w:val="FootnoteReference"/>
          <w:sz w:val="18"/>
          <w:szCs w:val="18"/>
        </w:rPr>
        <w:footnoteRef/>
      </w:r>
      <w:r w:rsidRPr="00310C02">
        <w:rPr>
          <w:sz w:val="18"/>
          <w:szCs w:val="18"/>
        </w:rPr>
        <w:t xml:space="preserve"> Taylor Simpson-Wood &amp; Robert H. Wood, </w:t>
      </w:r>
      <w:r w:rsidRPr="00310C02">
        <w:rPr>
          <w:i/>
          <w:iCs/>
          <w:sz w:val="18"/>
          <w:szCs w:val="18"/>
        </w:rPr>
        <w:t>When Popular Culture and the NFL Collide: Fan Responsibility in Ending the Concussion Crisis</w:t>
      </w:r>
      <w:r w:rsidRPr="00310C02">
        <w:rPr>
          <w:sz w:val="18"/>
          <w:szCs w:val="18"/>
        </w:rPr>
        <w:t xml:space="preserve">, </w:t>
      </w:r>
      <w:r w:rsidRPr="00310C02">
        <w:rPr>
          <w:smallCaps/>
          <w:sz w:val="18"/>
          <w:szCs w:val="18"/>
        </w:rPr>
        <w:t xml:space="preserve">29 </w:t>
      </w:r>
      <w:proofErr w:type="spellStart"/>
      <w:r w:rsidRPr="00310C02">
        <w:rPr>
          <w:smallCaps/>
          <w:sz w:val="18"/>
          <w:szCs w:val="18"/>
        </w:rPr>
        <w:t>Marq</w:t>
      </w:r>
      <w:proofErr w:type="spellEnd"/>
      <w:r w:rsidRPr="00310C02">
        <w:rPr>
          <w:smallCaps/>
          <w:sz w:val="18"/>
          <w:szCs w:val="18"/>
        </w:rPr>
        <w:t>. Sports L. Rev</w:t>
      </w:r>
      <w:r w:rsidRPr="00310C02">
        <w:rPr>
          <w:sz w:val="18"/>
          <w:szCs w:val="18"/>
        </w:rPr>
        <w:t>. 13, 53 (2018).</w:t>
      </w:r>
    </w:p>
  </w:footnote>
  <w:footnote w:id="137">
    <w:p w14:paraId="0C32A583" w14:textId="77777777" w:rsidR="00A175D2" w:rsidRPr="00310C02" w:rsidRDefault="00A175D2" w:rsidP="00117EBC">
      <w:pPr>
        <w:pStyle w:val="FootnoteText"/>
        <w:rPr>
          <w:i/>
          <w:iCs/>
          <w:sz w:val="18"/>
          <w:szCs w:val="18"/>
        </w:rPr>
      </w:pPr>
      <w:r w:rsidRPr="00310C02">
        <w:rPr>
          <w:rStyle w:val="FootnoteReference"/>
          <w:sz w:val="18"/>
          <w:szCs w:val="18"/>
        </w:rPr>
        <w:footnoteRef/>
      </w:r>
      <w:r w:rsidRPr="00310C02">
        <w:rPr>
          <w:sz w:val="18"/>
          <w:szCs w:val="18"/>
        </w:rPr>
        <w:t xml:space="preserve"> </w:t>
      </w:r>
      <w:r w:rsidRPr="00310C02">
        <w:rPr>
          <w:i/>
          <w:iCs/>
          <w:sz w:val="18"/>
          <w:szCs w:val="18"/>
        </w:rPr>
        <w:t>Id.</w:t>
      </w:r>
    </w:p>
  </w:footnote>
  <w:footnote w:id="138">
    <w:p w14:paraId="0E0436EF" w14:textId="77777777" w:rsidR="00A175D2" w:rsidRPr="00310C02" w:rsidRDefault="00A175D2" w:rsidP="00117EBC">
      <w:pPr>
        <w:pStyle w:val="FootnoteText"/>
        <w:rPr>
          <w:i/>
          <w:iCs/>
          <w:sz w:val="18"/>
          <w:szCs w:val="18"/>
        </w:rPr>
      </w:pPr>
      <w:r w:rsidRPr="00310C02">
        <w:rPr>
          <w:rStyle w:val="FootnoteReference"/>
          <w:sz w:val="18"/>
          <w:szCs w:val="18"/>
        </w:rPr>
        <w:footnoteRef/>
      </w:r>
      <w:r w:rsidRPr="00310C02">
        <w:rPr>
          <w:sz w:val="18"/>
          <w:szCs w:val="18"/>
        </w:rPr>
        <w:t xml:space="preserve"> </w:t>
      </w:r>
      <w:r w:rsidRPr="00310C02">
        <w:rPr>
          <w:i/>
          <w:iCs/>
          <w:sz w:val="18"/>
          <w:szCs w:val="18"/>
        </w:rPr>
        <w:t>Id.</w:t>
      </w:r>
    </w:p>
  </w:footnote>
  <w:footnote w:id="139">
    <w:p w14:paraId="52BC25F8" w14:textId="77777777" w:rsidR="00A175D2" w:rsidRPr="00310C02" w:rsidRDefault="00A175D2" w:rsidP="00117EBC">
      <w:pPr>
        <w:pStyle w:val="FootnoteText"/>
        <w:rPr>
          <w:sz w:val="18"/>
          <w:szCs w:val="18"/>
        </w:rPr>
      </w:pPr>
      <w:r w:rsidRPr="00310C02">
        <w:rPr>
          <w:rStyle w:val="FootnoteReference"/>
          <w:sz w:val="18"/>
          <w:szCs w:val="18"/>
        </w:rPr>
        <w:footnoteRef/>
      </w:r>
      <w:r w:rsidRPr="00310C02">
        <w:rPr>
          <w:sz w:val="18"/>
          <w:szCs w:val="18"/>
        </w:rPr>
        <w:t xml:space="preserve"> </w:t>
      </w:r>
      <w:r w:rsidRPr="00310C02">
        <w:rPr>
          <w:i/>
          <w:iCs/>
          <w:sz w:val="18"/>
          <w:szCs w:val="18"/>
        </w:rPr>
        <w:t>Concussion Legislation by State</w:t>
      </w:r>
      <w:r w:rsidRPr="00310C02">
        <w:rPr>
          <w:sz w:val="18"/>
          <w:szCs w:val="18"/>
        </w:rPr>
        <w:t xml:space="preserve">, NFL (Aug. 9, 2013), http://www.nfl.com/news/story/0ap1000000228347/article/concussion-legislation-by-state. </w:t>
      </w:r>
    </w:p>
  </w:footnote>
  <w:footnote w:id="140">
    <w:p w14:paraId="17098F4F" w14:textId="77777777" w:rsidR="00A175D2" w:rsidRPr="00310C02" w:rsidRDefault="00A175D2" w:rsidP="00117EBC">
      <w:pPr>
        <w:pStyle w:val="FootnoteText"/>
        <w:rPr>
          <w:i/>
          <w:iCs/>
          <w:sz w:val="18"/>
          <w:szCs w:val="18"/>
        </w:rPr>
      </w:pPr>
      <w:r w:rsidRPr="00310C02">
        <w:rPr>
          <w:rStyle w:val="FootnoteReference"/>
          <w:sz w:val="18"/>
          <w:szCs w:val="18"/>
        </w:rPr>
        <w:footnoteRef/>
      </w:r>
      <w:r w:rsidRPr="00310C02">
        <w:rPr>
          <w:sz w:val="18"/>
          <w:szCs w:val="18"/>
        </w:rPr>
        <w:t xml:space="preserve"> </w:t>
      </w:r>
      <w:r w:rsidRPr="00310C02">
        <w:rPr>
          <w:i/>
          <w:iCs/>
          <w:sz w:val="18"/>
          <w:szCs w:val="18"/>
        </w:rPr>
        <w:t>Id.</w:t>
      </w:r>
    </w:p>
  </w:footnote>
  <w:footnote w:id="141">
    <w:p w14:paraId="64CB98F9" w14:textId="77777777" w:rsidR="00A175D2" w:rsidRPr="00310C02" w:rsidRDefault="00A175D2" w:rsidP="00117EBC">
      <w:pPr>
        <w:pStyle w:val="FootnoteText"/>
        <w:rPr>
          <w:i/>
          <w:iCs/>
          <w:sz w:val="18"/>
          <w:szCs w:val="18"/>
        </w:rPr>
      </w:pPr>
      <w:r w:rsidRPr="00310C02">
        <w:rPr>
          <w:rStyle w:val="FootnoteReference"/>
          <w:sz w:val="18"/>
          <w:szCs w:val="18"/>
        </w:rPr>
        <w:footnoteRef/>
      </w:r>
      <w:r w:rsidRPr="00310C02">
        <w:rPr>
          <w:sz w:val="18"/>
          <w:szCs w:val="18"/>
        </w:rPr>
        <w:t xml:space="preserve"> </w:t>
      </w:r>
      <w:r w:rsidRPr="00310C02">
        <w:rPr>
          <w:i/>
          <w:iCs/>
          <w:sz w:val="18"/>
          <w:szCs w:val="18"/>
        </w:rPr>
        <w:t xml:space="preserve">Id. </w:t>
      </w:r>
    </w:p>
  </w:footnote>
  <w:footnote w:id="142">
    <w:p w14:paraId="71B86909" w14:textId="77777777" w:rsidR="00A175D2" w:rsidRPr="00310C02" w:rsidRDefault="00A175D2" w:rsidP="00117EBC">
      <w:pPr>
        <w:pStyle w:val="FootnoteText"/>
        <w:rPr>
          <w:i/>
          <w:iCs/>
          <w:sz w:val="18"/>
          <w:szCs w:val="18"/>
        </w:rPr>
      </w:pPr>
      <w:r w:rsidRPr="00310C02">
        <w:rPr>
          <w:rStyle w:val="FootnoteReference"/>
          <w:sz w:val="18"/>
          <w:szCs w:val="18"/>
        </w:rPr>
        <w:footnoteRef/>
      </w:r>
      <w:r w:rsidRPr="00310C02">
        <w:rPr>
          <w:sz w:val="18"/>
          <w:szCs w:val="18"/>
        </w:rPr>
        <w:t xml:space="preserve"> </w:t>
      </w:r>
      <w:r w:rsidRPr="00310C02">
        <w:rPr>
          <w:i/>
          <w:iCs/>
          <w:sz w:val="18"/>
          <w:szCs w:val="18"/>
        </w:rPr>
        <w:t>Id.</w:t>
      </w:r>
    </w:p>
  </w:footnote>
  <w:footnote w:id="143">
    <w:p w14:paraId="4AA283A4" w14:textId="026ABF48" w:rsidR="00A175D2" w:rsidRPr="00310C02" w:rsidRDefault="00A175D2" w:rsidP="00117EBC">
      <w:pPr>
        <w:pStyle w:val="FootnoteText"/>
        <w:rPr>
          <w:sz w:val="18"/>
          <w:szCs w:val="18"/>
        </w:rPr>
      </w:pPr>
      <w:r w:rsidRPr="00310C02">
        <w:rPr>
          <w:rStyle w:val="FootnoteReference"/>
          <w:sz w:val="18"/>
          <w:szCs w:val="18"/>
        </w:rPr>
        <w:footnoteRef/>
      </w:r>
      <w:r w:rsidRPr="00310C02">
        <w:rPr>
          <w:sz w:val="18"/>
          <w:szCs w:val="18"/>
        </w:rPr>
        <w:t xml:space="preserve"> Wood</w:t>
      </w:r>
      <w:r>
        <w:rPr>
          <w:sz w:val="18"/>
          <w:szCs w:val="18"/>
        </w:rPr>
        <w:t xml:space="preserve"> &amp; Wood</w:t>
      </w:r>
      <w:r w:rsidRPr="00310C02">
        <w:rPr>
          <w:sz w:val="18"/>
          <w:szCs w:val="18"/>
        </w:rPr>
        <w:t xml:space="preserve">, </w:t>
      </w:r>
      <w:r w:rsidRPr="00310C02">
        <w:rPr>
          <w:i/>
          <w:iCs/>
          <w:sz w:val="18"/>
          <w:szCs w:val="18"/>
        </w:rPr>
        <w:t>supra</w:t>
      </w:r>
      <w:r w:rsidRPr="00310C02">
        <w:rPr>
          <w:sz w:val="18"/>
          <w:szCs w:val="18"/>
        </w:rPr>
        <w:t xml:space="preserve"> note 135, </w:t>
      </w:r>
      <w:r>
        <w:rPr>
          <w:sz w:val="18"/>
          <w:szCs w:val="18"/>
        </w:rPr>
        <w:t xml:space="preserve">at </w:t>
      </w:r>
      <w:r w:rsidRPr="00310C02">
        <w:rPr>
          <w:sz w:val="18"/>
          <w:szCs w:val="18"/>
        </w:rPr>
        <w:t>58.</w:t>
      </w:r>
    </w:p>
  </w:footnote>
  <w:footnote w:id="144">
    <w:p w14:paraId="57A110B4" w14:textId="45FEDC44"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Id</w:t>
      </w:r>
      <w:r w:rsidRPr="00310C02">
        <w:rPr>
          <w:sz w:val="18"/>
          <w:szCs w:val="18"/>
          <w:lang w:val="da-DK"/>
        </w:rPr>
        <w:t>.</w:t>
      </w:r>
    </w:p>
  </w:footnote>
  <w:footnote w:id="145">
    <w:p w14:paraId="590AB955" w14:textId="77777777" w:rsidR="00A175D2" w:rsidRPr="00310C02" w:rsidRDefault="00A175D2" w:rsidP="00117EBC">
      <w:pPr>
        <w:pStyle w:val="FootnoteText"/>
        <w:rPr>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Id</w:t>
      </w:r>
      <w:r w:rsidRPr="00310C02">
        <w:rPr>
          <w:sz w:val="18"/>
          <w:szCs w:val="18"/>
          <w:lang w:val="da-DK"/>
        </w:rPr>
        <w:t>.</w:t>
      </w:r>
    </w:p>
  </w:footnote>
  <w:footnote w:id="146">
    <w:p w14:paraId="0B74D9F5" w14:textId="7A36420D" w:rsidR="00A175D2" w:rsidRPr="00310C02" w:rsidRDefault="00A175D2" w:rsidP="00117EBC">
      <w:pPr>
        <w:pStyle w:val="FootnoteText"/>
        <w:rPr>
          <w:i/>
          <w:iCs/>
          <w:sz w:val="18"/>
          <w:szCs w:val="18"/>
          <w:lang w:val="da-DK"/>
        </w:rPr>
      </w:pPr>
      <w:r w:rsidRPr="00310C02">
        <w:rPr>
          <w:rStyle w:val="FootnoteReference"/>
          <w:sz w:val="18"/>
          <w:szCs w:val="18"/>
        </w:rPr>
        <w:footnoteRef/>
      </w:r>
      <w:r w:rsidRPr="00310C02">
        <w:rPr>
          <w:sz w:val="18"/>
          <w:szCs w:val="18"/>
          <w:lang w:val="da-DK"/>
        </w:rPr>
        <w:t xml:space="preserve"> </w:t>
      </w:r>
      <w:r w:rsidRPr="00310C02">
        <w:rPr>
          <w:i/>
          <w:iCs/>
          <w:sz w:val="18"/>
          <w:szCs w:val="18"/>
          <w:lang w:val="da-DK"/>
        </w:rPr>
        <w:t xml:space="preserve">Id. </w:t>
      </w:r>
      <w:r>
        <w:rPr>
          <w:sz w:val="18"/>
          <w:szCs w:val="18"/>
          <w:lang w:val="da-DK"/>
        </w:rPr>
        <w:t xml:space="preserve">at </w:t>
      </w:r>
      <w:r w:rsidRPr="00310C02">
        <w:rPr>
          <w:sz w:val="18"/>
          <w:szCs w:val="18"/>
          <w:lang w:val="da-DK"/>
        </w:rPr>
        <w:t>54-57.</w:t>
      </w:r>
    </w:p>
  </w:footnote>
  <w:footnote w:id="147">
    <w:p w14:paraId="1CDA4AF2" w14:textId="77777777" w:rsidR="00A175D2" w:rsidRPr="00310C02" w:rsidRDefault="00A175D2" w:rsidP="00117EBC">
      <w:pPr>
        <w:pStyle w:val="FootnoteText"/>
        <w:rPr>
          <w:i/>
          <w:iCs/>
          <w:sz w:val="18"/>
          <w:szCs w:val="18"/>
        </w:rPr>
      </w:pPr>
      <w:r w:rsidRPr="00310C02">
        <w:rPr>
          <w:rStyle w:val="FootnoteReference"/>
          <w:sz w:val="18"/>
          <w:szCs w:val="18"/>
        </w:rPr>
        <w:footnoteRef/>
      </w:r>
      <w:r w:rsidRPr="00310C02">
        <w:rPr>
          <w:sz w:val="18"/>
          <w:szCs w:val="18"/>
        </w:rPr>
        <w:t xml:space="preserve"> </w:t>
      </w:r>
      <w:r w:rsidRPr="00310C02">
        <w:rPr>
          <w:i/>
          <w:iCs/>
          <w:sz w:val="18"/>
          <w:szCs w:val="18"/>
        </w:rPr>
        <w:t>Id.</w:t>
      </w:r>
    </w:p>
  </w:footnote>
  <w:footnote w:id="148">
    <w:p w14:paraId="7D79EF91" w14:textId="77777777" w:rsidR="00A175D2" w:rsidRPr="00310C02" w:rsidRDefault="00A175D2" w:rsidP="00117EBC">
      <w:pPr>
        <w:pStyle w:val="FootnoteText"/>
        <w:rPr>
          <w:sz w:val="18"/>
          <w:szCs w:val="18"/>
        </w:rPr>
      </w:pPr>
      <w:r w:rsidRPr="00310C02">
        <w:rPr>
          <w:rStyle w:val="FootnoteReference"/>
          <w:sz w:val="18"/>
          <w:szCs w:val="18"/>
        </w:rPr>
        <w:footnoteRef/>
      </w:r>
      <w:r w:rsidRPr="00310C02">
        <w:rPr>
          <w:sz w:val="18"/>
          <w:szCs w:val="18"/>
        </w:rPr>
        <w:t xml:space="preserve"> </w:t>
      </w:r>
      <w:r w:rsidRPr="00310C02">
        <w:rPr>
          <w:i/>
          <w:iCs/>
          <w:sz w:val="18"/>
          <w:szCs w:val="18"/>
        </w:rPr>
        <w:t>Incidence of Concussion – 2012-2019</w:t>
      </w:r>
      <w:r w:rsidRPr="00310C02">
        <w:rPr>
          <w:sz w:val="18"/>
          <w:szCs w:val="18"/>
        </w:rPr>
        <w:t xml:space="preserve">, </w:t>
      </w:r>
      <w:r w:rsidRPr="00310C02">
        <w:rPr>
          <w:smallCaps/>
          <w:sz w:val="18"/>
          <w:szCs w:val="18"/>
        </w:rPr>
        <w:t>NFL Player Health &amp; Safety</w:t>
      </w:r>
      <w:r w:rsidRPr="00310C02">
        <w:rPr>
          <w:sz w:val="18"/>
          <w:szCs w:val="18"/>
        </w:rPr>
        <w:t xml:space="preserve"> (Jan. 23, 2020), https://www.playsmartplaysafe.com/newsroom/reports/injury-data/. </w:t>
      </w:r>
    </w:p>
  </w:footnote>
  <w:footnote w:id="149">
    <w:p w14:paraId="49E87CB8" w14:textId="77777777" w:rsidR="00A175D2" w:rsidRPr="00310C02" w:rsidRDefault="00A175D2" w:rsidP="00117EBC">
      <w:pPr>
        <w:pStyle w:val="FootnoteText"/>
        <w:rPr>
          <w:i/>
          <w:iCs/>
          <w:sz w:val="18"/>
          <w:szCs w:val="18"/>
        </w:rPr>
      </w:pPr>
      <w:r w:rsidRPr="00310C02">
        <w:rPr>
          <w:rStyle w:val="FootnoteReference"/>
          <w:sz w:val="18"/>
          <w:szCs w:val="18"/>
        </w:rPr>
        <w:footnoteRef/>
      </w:r>
      <w:r w:rsidRPr="00310C02">
        <w:rPr>
          <w:sz w:val="18"/>
          <w:szCs w:val="18"/>
        </w:rPr>
        <w:t xml:space="preserve"> </w:t>
      </w:r>
      <w:r w:rsidRPr="00310C02">
        <w:rPr>
          <w:i/>
          <w:iCs/>
          <w:sz w:val="18"/>
          <w:szCs w:val="18"/>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240376197"/>
      <w:docPartObj>
        <w:docPartGallery w:val="Page Numbers (Top of Page)"/>
        <w:docPartUnique/>
      </w:docPartObj>
    </w:sdtPr>
    <w:sdtEndPr>
      <w:rPr>
        <w:noProof/>
        <w:sz w:val="20"/>
        <w:szCs w:val="20"/>
      </w:rPr>
    </w:sdtEndPr>
    <w:sdtContent>
      <w:p w14:paraId="6B07B70D" w14:textId="0EE7B5A4" w:rsidR="00A175D2" w:rsidRPr="00B80DA1" w:rsidRDefault="00465285" w:rsidP="00B80DA1">
        <w:pPr>
          <w:pStyle w:val="Header"/>
          <w:tabs>
            <w:tab w:val="clear" w:pos="4680"/>
            <w:tab w:val="clear" w:pos="9360"/>
            <w:tab w:val="center" w:pos="3240"/>
            <w:tab w:val="right" w:pos="6480"/>
          </w:tabs>
          <w:rPr>
            <w:smallCaps/>
            <w:sz w:val="24"/>
            <w:szCs w:val="24"/>
          </w:rPr>
        </w:pPr>
        <w:sdt>
          <w:sdtPr>
            <w:rPr>
              <w:sz w:val="24"/>
              <w:szCs w:val="24"/>
            </w:rPr>
            <w:id w:val="201144323"/>
            <w:docPartObj>
              <w:docPartGallery w:val="Page Numbers (Top of Page)"/>
              <w:docPartUnique/>
            </w:docPartObj>
          </w:sdtPr>
          <w:sdtEndPr>
            <w:rPr>
              <w:noProof/>
            </w:rPr>
          </w:sdtEndPr>
          <w:sdtContent>
            <w:r w:rsidR="00A175D2" w:rsidRPr="00B80DA1">
              <w:rPr>
                <w:sz w:val="24"/>
                <w:szCs w:val="24"/>
              </w:rPr>
              <w:fldChar w:fldCharType="begin"/>
            </w:r>
            <w:r w:rsidR="00A175D2" w:rsidRPr="00B80DA1">
              <w:rPr>
                <w:sz w:val="24"/>
                <w:szCs w:val="24"/>
              </w:rPr>
              <w:instrText xml:space="preserve"> PAGE   \* MERGEFORMAT </w:instrText>
            </w:r>
            <w:r w:rsidR="00A175D2" w:rsidRPr="00B80DA1">
              <w:rPr>
                <w:sz w:val="24"/>
                <w:szCs w:val="24"/>
              </w:rPr>
              <w:fldChar w:fldCharType="separate"/>
            </w:r>
            <w:r w:rsidR="00FA0457">
              <w:rPr>
                <w:noProof/>
                <w:sz w:val="24"/>
                <w:szCs w:val="24"/>
              </w:rPr>
              <w:t>20</w:t>
            </w:r>
            <w:r w:rsidR="00A175D2" w:rsidRPr="00B80DA1">
              <w:rPr>
                <w:noProof/>
                <w:sz w:val="24"/>
                <w:szCs w:val="24"/>
              </w:rPr>
              <w:fldChar w:fldCharType="end"/>
            </w:r>
            <w:r w:rsidR="00A175D2" w:rsidRPr="00B80DA1">
              <w:rPr>
                <w:smallCaps/>
                <w:sz w:val="24"/>
                <w:szCs w:val="24"/>
              </w:rPr>
              <w:t xml:space="preserve"> </w:t>
            </w:r>
            <w:r w:rsidR="00A175D2" w:rsidRPr="00B80DA1">
              <w:rPr>
                <w:smallCaps/>
                <w:sz w:val="24"/>
                <w:szCs w:val="24"/>
              </w:rPr>
              <w:tab/>
            </w:r>
            <w:r w:rsidR="00A175D2" w:rsidRPr="00B80DA1">
              <w:rPr>
                <w:i/>
                <w:smallCaps/>
                <w:sz w:val="24"/>
                <w:szCs w:val="24"/>
              </w:rPr>
              <w:t>Belmont Health L. J.</w:t>
            </w:r>
            <w:r w:rsidR="00A175D2" w:rsidRPr="00B80DA1">
              <w:rPr>
                <w:smallCaps/>
                <w:sz w:val="24"/>
                <w:szCs w:val="24"/>
              </w:rPr>
              <w:tab/>
              <w:t>Vol. IV</w:t>
            </w:r>
          </w:sdtContent>
        </w:sdt>
      </w:p>
      <w:p w14:paraId="22066B4E" w14:textId="00007409" w:rsidR="00A175D2" w:rsidRDefault="00465285" w:rsidP="00B80DA1">
        <w:pPr>
          <w:pStyle w:val="Header"/>
          <w:pBdr>
            <w:top w:val="nil"/>
            <w:left w:val="nil"/>
            <w:bottom w:val="nil"/>
            <w:right w:val="nil"/>
            <w:between w:val="nil"/>
            <w:bar w:val="nil"/>
          </w:pBdr>
          <w:rPr>
            <w:noProof/>
          </w:rPr>
        </w:pPr>
      </w:p>
    </w:sdtContent>
  </w:sdt>
  <w:p w14:paraId="2BD7243F" w14:textId="77777777" w:rsidR="00A175D2" w:rsidRDefault="00A17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724215279"/>
      <w:docPartObj>
        <w:docPartGallery w:val="Page Numbers (Top of Page)"/>
        <w:docPartUnique/>
      </w:docPartObj>
    </w:sdtPr>
    <w:sdtEndPr>
      <w:rPr>
        <w:noProof/>
      </w:rPr>
    </w:sdtEndPr>
    <w:sdtContent>
      <w:p w14:paraId="0D8D729F" w14:textId="4E6181E3" w:rsidR="00A175D2" w:rsidRPr="00B80DA1" w:rsidRDefault="00A175D2" w:rsidP="00243A21">
        <w:pPr>
          <w:pStyle w:val="Header"/>
          <w:tabs>
            <w:tab w:val="clear" w:pos="4680"/>
            <w:tab w:val="clear" w:pos="9360"/>
            <w:tab w:val="left" w:pos="1178"/>
            <w:tab w:val="center" w:pos="3240"/>
            <w:tab w:val="right" w:pos="6480"/>
          </w:tabs>
          <w:rPr>
            <w:smallCaps/>
            <w:sz w:val="24"/>
            <w:szCs w:val="24"/>
          </w:rPr>
        </w:pPr>
        <w:r w:rsidRPr="00B80DA1">
          <w:rPr>
            <w:sz w:val="24"/>
            <w:szCs w:val="24"/>
          </w:rPr>
          <w:fldChar w:fldCharType="begin"/>
        </w:r>
        <w:r w:rsidRPr="00B80DA1">
          <w:rPr>
            <w:sz w:val="24"/>
            <w:szCs w:val="24"/>
          </w:rPr>
          <w:instrText xml:space="preserve"> PAGE   \* MERGEFORMAT </w:instrText>
        </w:r>
        <w:r w:rsidRPr="00B80DA1">
          <w:rPr>
            <w:sz w:val="24"/>
            <w:szCs w:val="24"/>
          </w:rPr>
          <w:fldChar w:fldCharType="separate"/>
        </w:r>
        <w:r w:rsidR="00FA0457">
          <w:rPr>
            <w:noProof/>
            <w:sz w:val="24"/>
            <w:szCs w:val="24"/>
          </w:rPr>
          <w:t>21</w:t>
        </w:r>
        <w:r w:rsidRPr="00B80DA1">
          <w:rPr>
            <w:noProof/>
            <w:sz w:val="24"/>
            <w:szCs w:val="24"/>
          </w:rPr>
          <w:fldChar w:fldCharType="end"/>
        </w:r>
        <w:r w:rsidRPr="00B80DA1">
          <w:rPr>
            <w:smallCaps/>
            <w:sz w:val="24"/>
            <w:szCs w:val="24"/>
          </w:rPr>
          <w:t xml:space="preserve"> </w:t>
        </w:r>
        <w:r w:rsidRPr="00B80DA1">
          <w:rPr>
            <w:smallCaps/>
            <w:sz w:val="24"/>
            <w:szCs w:val="24"/>
          </w:rPr>
          <w:tab/>
        </w:r>
        <w:r>
          <w:rPr>
            <w:smallCaps/>
            <w:sz w:val="24"/>
            <w:szCs w:val="24"/>
          </w:rPr>
          <w:tab/>
        </w:r>
        <w:r w:rsidRPr="00B80DA1">
          <w:rPr>
            <w:i/>
            <w:smallCaps/>
            <w:sz w:val="24"/>
            <w:szCs w:val="24"/>
          </w:rPr>
          <w:t xml:space="preserve">The NFL and Opioid Abuse </w:t>
        </w:r>
        <w:r w:rsidRPr="00B80DA1">
          <w:rPr>
            <w:smallCaps/>
            <w:sz w:val="24"/>
            <w:szCs w:val="24"/>
          </w:rPr>
          <w:tab/>
          <w:t>Vol. IV</w:t>
        </w:r>
      </w:p>
    </w:sdtContent>
  </w:sdt>
  <w:p w14:paraId="5F13135C" w14:textId="77777777" w:rsidR="00A175D2" w:rsidRDefault="00A175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4D810" w14:textId="77777777" w:rsidR="00A175D2" w:rsidRDefault="00A175D2" w:rsidP="00F57F80">
    <w:pPr>
      <w:pStyle w:val="Header"/>
      <w:tabs>
        <w:tab w:val="clear" w:pos="4680"/>
        <w:tab w:val="clear" w:pos="9360"/>
        <w:tab w:val="center" w:pos="3240"/>
        <w:tab w:val="right" w:pos="6480"/>
      </w:tabs>
      <w:jc w:val="center"/>
      <w:rPr>
        <w:sz w:val="24"/>
        <w:szCs w:val="24"/>
      </w:rPr>
    </w:pPr>
  </w:p>
  <w:sdt>
    <w:sdtPr>
      <w:rPr>
        <w:sz w:val="24"/>
        <w:szCs w:val="24"/>
      </w:rPr>
      <w:id w:val="-1078125050"/>
      <w:docPartObj>
        <w:docPartGallery w:val="Page Numbers (Top of Page)"/>
        <w:docPartUnique/>
      </w:docPartObj>
    </w:sdtPr>
    <w:sdtEndPr>
      <w:rPr>
        <w:noProof/>
        <w:sz w:val="20"/>
        <w:szCs w:val="20"/>
      </w:rPr>
    </w:sdtEndPr>
    <w:sdtContent>
      <w:p w14:paraId="7C91C031" w14:textId="10B70F18" w:rsidR="00A175D2" w:rsidRPr="00752E51" w:rsidRDefault="00A175D2" w:rsidP="00E1387F">
        <w:pPr>
          <w:pStyle w:val="Header"/>
          <w:tabs>
            <w:tab w:val="clear" w:pos="4680"/>
            <w:tab w:val="clear" w:pos="9360"/>
            <w:tab w:val="center" w:pos="3240"/>
            <w:tab w:val="right" w:pos="6480"/>
          </w:tabs>
          <w:jc w:val="center"/>
          <w:rPr>
            <w:smallCaps/>
            <w:sz w:val="24"/>
            <w:szCs w:val="24"/>
          </w:rPr>
        </w:pPr>
      </w:p>
      <w:p w14:paraId="7E8704AB" w14:textId="77777777" w:rsidR="00A175D2" w:rsidRDefault="00465285" w:rsidP="00F57F80">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2EB7"/>
    <w:multiLevelType w:val="hybridMultilevel"/>
    <w:tmpl w:val="E9F031F4"/>
    <w:lvl w:ilvl="0" w:tplc="2B5E2174">
      <w:start w:val="1"/>
      <w:numFmt w:val="bullet"/>
      <w:lvlText w:val="-"/>
      <w:lvlJc w:val="left"/>
      <w:pPr>
        <w:ind w:left="2160" w:hanging="360"/>
      </w:pPr>
      <w:rPr>
        <w:rFonts w:ascii="Times New Roman" w:eastAsiaTheme="minorHAnsi" w:hAnsi="Times New Roman" w:cs="Times New Roman"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2D5875"/>
    <w:multiLevelType w:val="hybridMultilevel"/>
    <w:tmpl w:val="0FC8E144"/>
    <w:lvl w:ilvl="0" w:tplc="19FAFCB4">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47034"/>
    <w:multiLevelType w:val="multilevel"/>
    <w:tmpl w:val="2514F37E"/>
    <w:lvl w:ilvl="0">
      <w:start w:val="1"/>
      <w:numFmt w:val="upperRoman"/>
      <w:lvlText w:val="%1."/>
      <w:lvlJc w:val="left"/>
      <w:pPr>
        <w:ind w:left="1080" w:hanging="72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2F0DD8"/>
    <w:multiLevelType w:val="hybridMultilevel"/>
    <w:tmpl w:val="887A3366"/>
    <w:lvl w:ilvl="0" w:tplc="2B5E2174">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776613"/>
    <w:multiLevelType w:val="hybridMultilevel"/>
    <w:tmpl w:val="BCC0C43A"/>
    <w:lvl w:ilvl="0" w:tplc="86B2E730">
      <w:start w:val="22"/>
      <w:numFmt w:val="upperLetter"/>
      <w:lvlText w:val="%1."/>
      <w:lvlJc w:val="left"/>
      <w:pPr>
        <w:ind w:left="2160" w:hanging="360"/>
      </w:pPr>
      <w:rPr>
        <w:rFonts w:hint="default"/>
      </w:rPr>
    </w:lvl>
    <w:lvl w:ilvl="1" w:tplc="04090015">
      <w:start w:val="1"/>
      <w:numFmt w:val="upp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CA00AF4"/>
    <w:multiLevelType w:val="hybridMultilevel"/>
    <w:tmpl w:val="D688B48A"/>
    <w:lvl w:ilvl="0" w:tplc="752CBE90">
      <w:start w:val="1"/>
      <w:numFmt w:val="upperRoman"/>
      <w:lvlText w:val="%1."/>
      <w:lvlJc w:val="right"/>
      <w:pPr>
        <w:ind w:left="1260" w:hanging="360"/>
      </w:pPr>
      <w:rPr>
        <w:rFonts w:hint="default"/>
        <w:b w:val="0"/>
        <w:bCs w:val="0"/>
      </w:rPr>
    </w:lvl>
    <w:lvl w:ilvl="1" w:tplc="C1E62084">
      <w:start w:val="1"/>
      <w:numFmt w:val="upperLetter"/>
      <w:lvlText w:val="%2."/>
      <w:lvlJc w:val="left"/>
      <w:pPr>
        <w:ind w:left="1260" w:hanging="720"/>
      </w:pPr>
      <w:rPr>
        <w:rFonts w:hint="default"/>
        <w:b w:val="0"/>
        <w:bCs w:val="0"/>
        <w:i w:val="0"/>
        <w:iCs w:val="0"/>
      </w:rPr>
    </w:lvl>
    <w:lvl w:ilvl="2" w:tplc="B8ECA448">
      <w:start w:val="1"/>
      <w:numFmt w:val="lowerRoman"/>
      <w:lvlText w:val="%3."/>
      <w:lvlJc w:val="right"/>
      <w:pPr>
        <w:ind w:left="2700" w:hanging="180"/>
      </w:pPr>
      <w:rPr>
        <w:i w:val="0"/>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DCD1068"/>
    <w:multiLevelType w:val="hybridMultilevel"/>
    <w:tmpl w:val="303CC096"/>
    <w:lvl w:ilvl="0" w:tplc="2B5E2174">
      <w:start w:val="1"/>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255DFE"/>
    <w:multiLevelType w:val="hybridMultilevel"/>
    <w:tmpl w:val="C12C3672"/>
    <w:lvl w:ilvl="0" w:tplc="0CC4FA6E">
      <w:start w:val="1"/>
      <w:numFmt w:val="upperLetter"/>
      <w:lvlText w:val="%1."/>
      <w:lvlJc w:val="left"/>
      <w:pPr>
        <w:ind w:left="720" w:hanging="72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A26A85"/>
    <w:multiLevelType w:val="hybridMultilevel"/>
    <w:tmpl w:val="195AFD1C"/>
    <w:lvl w:ilvl="0" w:tplc="25963456">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037E9"/>
    <w:multiLevelType w:val="multilevel"/>
    <w:tmpl w:val="71C88EA4"/>
    <w:lvl w:ilvl="0">
      <w:start w:val="1"/>
      <w:numFmt w:val="upperRoman"/>
      <w:lvlText w:val="%1."/>
      <w:lvlJc w:val="right"/>
      <w:pPr>
        <w:ind w:left="720" w:hanging="360"/>
      </w:pPr>
      <w:rPr>
        <w:rFonts w:hint="default"/>
      </w:rPr>
    </w:lvl>
    <w:lvl w:ilvl="1">
      <w:start w:val="1"/>
      <w:numFmt w:val="upperLetter"/>
      <w:lvlText w:val="%2."/>
      <w:lvlJc w:val="left"/>
      <w:pPr>
        <w:ind w:left="1080" w:hanging="360"/>
      </w:pPr>
      <w:rPr>
        <w:b w:val="0"/>
        <w:bCs w:val="0"/>
      </w:rPr>
    </w:lvl>
    <w:lvl w:ilvl="2">
      <w:start w:val="1"/>
      <w:numFmt w:val="lowerRoman"/>
      <w:lvlText w:val="%3."/>
      <w:lvlJc w:val="right"/>
      <w:pPr>
        <w:ind w:left="2160" w:hanging="18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2C671F"/>
    <w:multiLevelType w:val="hybridMultilevel"/>
    <w:tmpl w:val="DAF0C4EC"/>
    <w:lvl w:ilvl="0" w:tplc="B972019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5721F7"/>
    <w:multiLevelType w:val="multilevel"/>
    <w:tmpl w:val="47A037EA"/>
    <w:lvl w:ilvl="0">
      <w:start w:val="1"/>
      <w:numFmt w:val="upperRoman"/>
      <w:lvlText w:val="%1."/>
      <w:lvlJc w:val="right"/>
      <w:pPr>
        <w:ind w:left="720" w:hanging="360"/>
      </w:pPr>
      <w:rPr>
        <w:rFonts w:hint="default"/>
      </w:rPr>
    </w:lvl>
    <w:lvl w:ilvl="1">
      <w:start w:val="1"/>
      <w:numFmt w:val="upperLetter"/>
      <w:lvlText w:val="%2."/>
      <w:lvlJc w:val="left"/>
      <w:pPr>
        <w:ind w:left="1080" w:hanging="1080"/>
      </w:pPr>
      <w:rPr>
        <w:rFonts w:hint="default"/>
        <w:b w:val="0"/>
        <w:bCs w:val="0"/>
      </w:rPr>
    </w:lvl>
    <w:lvl w:ilvl="2">
      <w:start w:val="1"/>
      <w:numFmt w:val="lowerRoman"/>
      <w:lvlText w:val="%3."/>
      <w:lvlJc w:val="right"/>
      <w:pPr>
        <w:ind w:left="2160" w:hanging="18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540FB4"/>
    <w:multiLevelType w:val="hybridMultilevel"/>
    <w:tmpl w:val="A99C4F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1E098C"/>
    <w:multiLevelType w:val="hybridMultilevel"/>
    <w:tmpl w:val="03DEAA02"/>
    <w:lvl w:ilvl="0" w:tplc="04090015">
      <w:start w:val="5"/>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7E3A10"/>
    <w:multiLevelType w:val="multilevel"/>
    <w:tmpl w:val="BD3C3FFA"/>
    <w:lvl w:ilvl="0">
      <w:start w:val="1"/>
      <w:numFmt w:val="upperRoman"/>
      <w:lvlText w:val="%1."/>
      <w:lvlJc w:val="left"/>
      <w:pPr>
        <w:ind w:left="720" w:hanging="360"/>
      </w:pPr>
      <w:rPr>
        <w:rFonts w:hint="default"/>
        <w:b/>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EAA423C"/>
    <w:multiLevelType w:val="hybridMultilevel"/>
    <w:tmpl w:val="2D604B8E"/>
    <w:lvl w:ilvl="0" w:tplc="1A1C24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C1756"/>
    <w:multiLevelType w:val="hybridMultilevel"/>
    <w:tmpl w:val="8B06F9D4"/>
    <w:lvl w:ilvl="0" w:tplc="E236C61C">
      <w:start w:val="1"/>
      <w:numFmt w:val="upperRoman"/>
      <w:lvlText w:val="%1."/>
      <w:lvlJc w:val="left"/>
      <w:pPr>
        <w:ind w:left="720" w:hanging="360"/>
      </w:pPr>
      <w:rPr>
        <w:rFonts w:hint="default"/>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3B3D6B"/>
    <w:multiLevelType w:val="multilevel"/>
    <w:tmpl w:val="19CE4ADA"/>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3"/>
  </w:num>
  <w:num w:numId="3">
    <w:abstractNumId w:val="6"/>
  </w:num>
  <w:num w:numId="4">
    <w:abstractNumId w:val="5"/>
  </w:num>
  <w:num w:numId="5">
    <w:abstractNumId w:val="15"/>
  </w:num>
  <w:num w:numId="6">
    <w:abstractNumId w:val="16"/>
  </w:num>
  <w:num w:numId="7">
    <w:abstractNumId w:val="7"/>
  </w:num>
  <w:num w:numId="8">
    <w:abstractNumId w:val="10"/>
  </w:num>
  <w:num w:numId="9">
    <w:abstractNumId w:val="2"/>
  </w:num>
  <w:num w:numId="10">
    <w:abstractNumId w:val="9"/>
  </w:num>
  <w:num w:numId="11">
    <w:abstractNumId w:val="11"/>
  </w:num>
  <w:num w:numId="12">
    <w:abstractNumId w:val="14"/>
  </w:num>
  <w:num w:numId="13">
    <w:abstractNumId w:val="17"/>
  </w:num>
  <w:num w:numId="14">
    <w:abstractNumId w:val="1"/>
  </w:num>
  <w:num w:numId="15">
    <w:abstractNumId w:val="8"/>
  </w:num>
  <w:num w:numId="16">
    <w:abstractNumId w:val="13"/>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evenAndOddHeader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EBC"/>
    <w:rsid w:val="00003EC6"/>
    <w:rsid w:val="000353E4"/>
    <w:rsid w:val="000405B4"/>
    <w:rsid w:val="00040C6A"/>
    <w:rsid w:val="00045B8B"/>
    <w:rsid w:val="000838A3"/>
    <w:rsid w:val="00086D05"/>
    <w:rsid w:val="00092E34"/>
    <w:rsid w:val="000B1481"/>
    <w:rsid w:val="000F480D"/>
    <w:rsid w:val="001018F1"/>
    <w:rsid w:val="00117EBC"/>
    <w:rsid w:val="001242FE"/>
    <w:rsid w:val="0013617E"/>
    <w:rsid w:val="0017248D"/>
    <w:rsid w:val="001A0050"/>
    <w:rsid w:val="00201EB0"/>
    <w:rsid w:val="00243A21"/>
    <w:rsid w:val="00275FB9"/>
    <w:rsid w:val="002E5893"/>
    <w:rsid w:val="00310C02"/>
    <w:rsid w:val="00341A47"/>
    <w:rsid w:val="00352BFC"/>
    <w:rsid w:val="00353A27"/>
    <w:rsid w:val="00356891"/>
    <w:rsid w:val="00380D6E"/>
    <w:rsid w:val="003B7A81"/>
    <w:rsid w:val="003C7F59"/>
    <w:rsid w:val="004332A3"/>
    <w:rsid w:val="0046207E"/>
    <w:rsid w:val="00465285"/>
    <w:rsid w:val="004855BE"/>
    <w:rsid w:val="0049162F"/>
    <w:rsid w:val="004A2F46"/>
    <w:rsid w:val="004A60EE"/>
    <w:rsid w:val="004C422B"/>
    <w:rsid w:val="004F18A5"/>
    <w:rsid w:val="00512A02"/>
    <w:rsid w:val="0055068D"/>
    <w:rsid w:val="005652EF"/>
    <w:rsid w:val="005719FE"/>
    <w:rsid w:val="005810C0"/>
    <w:rsid w:val="005B4449"/>
    <w:rsid w:val="005B5A40"/>
    <w:rsid w:val="005C6C3F"/>
    <w:rsid w:val="00601DF3"/>
    <w:rsid w:val="00617D08"/>
    <w:rsid w:val="006343B2"/>
    <w:rsid w:val="0064138C"/>
    <w:rsid w:val="00685D92"/>
    <w:rsid w:val="00697E8A"/>
    <w:rsid w:val="006B4D29"/>
    <w:rsid w:val="006E212B"/>
    <w:rsid w:val="00731883"/>
    <w:rsid w:val="00732FC3"/>
    <w:rsid w:val="007944B7"/>
    <w:rsid w:val="007C7729"/>
    <w:rsid w:val="00812919"/>
    <w:rsid w:val="008C1304"/>
    <w:rsid w:val="009018AF"/>
    <w:rsid w:val="00946E11"/>
    <w:rsid w:val="009A0FFB"/>
    <w:rsid w:val="009B4528"/>
    <w:rsid w:val="00A175D2"/>
    <w:rsid w:val="00A263BF"/>
    <w:rsid w:val="00A55802"/>
    <w:rsid w:val="00A942CE"/>
    <w:rsid w:val="00A970B8"/>
    <w:rsid w:val="00AD3C29"/>
    <w:rsid w:val="00AF33A5"/>
    <w:rsid w:val="00B04C22"/>
    <w:rsid w:val="00B6609A"/>
    <w:rsid w:val="00B80DA1"/>
    <w:rsid w:val="00B822C3"/>
    <w:rsid w:val="00BA6869"/>
    <w:rsid w:val="00BF0071"/>
    <w:rsid w:val="00C62BAB"/>
    <w:rsid w:val="00C97964"/>
    <w:rsid w:val="00CD428F"/>
    <w:rsid w:val="00CD7BD2"/>
    <w:rsid w:val="00D05B99"/>
    <w:rsid w:val="00D141BA"/>
    <w:rsid w:val="00D30C51"/>
    <w:rsid w:val="00D94E17"/>
    <w:rsid w:val="00D95935"/>
    <w:rsid w:val="00D96B25"/>
    <w:rsid w:val="00DA3494"/>
    <w:rsid w:val="00DD003F"/>
    <w:rsid w:val="00DE11B2"/>
    <w:rsid w:val="00E021FB"/>
    <w:rsid w:val="00E04C7D"/>
    <w:rsid w:val="00E1387F"/>
    <w:rsid w:val="00E41490"/>
    <w:rsid w:val="00E4293A"/>
    <w:rsid w:val="00E62531"/>
    <w:rsid w:val="00E90617"/>
    <w:rsid w:val="00EA0070"/>
    <w:rsid w:val="00EB1E42"/>
    <w:rsid w:val="00F32775"/>
    <w:rsid w:val="00F430D0"/>
    <w:rsid w:val="00F57F80"/>
    <w:rsid w:val="00FA0457"/>
    <w:rsid w:val="00FE26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BD3EA"/>
  <w15:chartTrackingRefBased/>
  <w15:docId w15:val="{DEF72207-A849-E748-B998-927B2D6C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EBC"/>
    <w:rPr>
      <w:rFonts w:ascii="Times New Roman" w:eastAsiaTheme="minorHAnsi" w:hAnsi="Times New Roman" w:cs="Times New Roman (Body 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7EBC"/>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117EBC"/>
  </w:style>
  <w:style w:type="character" w:styleId="Hyperlink">
    <w:name w:val="Hyperlink"/>
    <w:basedOn w:val="DefaultParagraphFont"/>
    <w:uiPriority w:val="99"/>
    <w:unhideWhenUsed/>
    <w:rsid w:val="00117EBC"/>
    <w:rPr>
      <w:color w:val="0000FF"/>
      <w:u w:val="single"/>
    </w:rPr>
  </w:style>
  <w:style w:type="paragraph" w:styleId="ListParagraph">
    <w:name w:val="List Paragraph"/>
    <w:basedOn w:val="Normal"/>
    <w:uiPriority w:val="34"/>
    <w:qFormat/>
    <w:rsid w:val="00117EBC"/>
    <w:pPr>
      <w:ind w:left="720"/>
      <w:contextualSpacing/>
    </w:pPr>
  </w:style>
  <w:style w:type="paragraph" w:styleId="FootnoteText">
    <w:name w:val="footnote text"/>
    <w:basedOn w:val="Normal"/>
    <w:link w:val="FootnoteTextChar"/>
    <w:uiPriority w:val="99"/>
    <w:semiHidden/>
    <w:unhideWhenUsed/>
    <w:rsid w:val="00117EBC"/>
  </w:style>
  <w:style w:type="character" w:customStyle="1" w:styleId="FootnoteTextChar">
    <w:name w:val="Footnote Text Char"/>
    <w:basedOn w:val="DefaultParagraphFont"/>
    <w:link w:val="FootnoteText"/>
    <w:uiPriority w:val="99"/>
    <w:semiHidden/>
    <w:rsid w:val="00117EBC"/>
    <w:rPr>
      <w:rFonts w:ascii="Times New Roman" w:eastAsiaTheme="minorHAnsi" w:hAnsi="Times New Roman" w:cs="Times New Roman (Body CS)"/>
      <w:sz w:val="20"/>
      <w:szCs w:val="20"/>
      <w:lang w:eastAsia="en-US"/>
    </w:rPr>
  </w:style>
  <w:style w:type="character" w:styleId="FootnoteReference">
    <w:name w:val="footnote reference"/>
    <w:basedOn w:val="DefaultParagraphFont"/>
    <w:uiPriority w:val="99"/>
    <w:semiHidden/>
    <w:unhideWhenUsed/>
    <w:rsid w:val="00117EBC"/>
    <w:rPr>
      <w:vertAlign w:val="superscript"/>
    </w:rPr>
  </w:style>
  <w:style w:type="paragraph" w:styleId="BalloonText">
    <w:name w:val="Balloon Text"/>
    <w:basedOn w:val="Normal"/>
    <w:link w:val="BalloonTextChar"/>
    <w:uiPriority w:val="99"/>
    <w:semiHidden/>
    <w:unhideWhenUsed/>
    <w:rsid w:val="00117EBC"/>
    <w:rPr>
      <w:rFonts w:cs="Times New Roman"/>
      <w:sz w:val="18"/>
      <w:szCs w:val="18"/>
    </w:rPr>
  </w:style>
  <w:style w:type="character" w:customStyle="1" w:styleId="BalloonTextChar">
    <w:name w:val="Balloon Text Char"/>
    <w:basedOn w:val="DefaultParagraphFont"/>
    <w:link w:val="BalloonText"/>
    <w:uiPriority w:val="99"/>
    <w:semiHidden/>
    <w:rsid w:val="00117EBC"/>
    <w:rPr>
      <w:rFonts w:ascii="Times New Roman" w:eastAsiaTheme="minorHAnsi" w:hAnsi="Times New Roman" w:cs="Times New Roman"/>
      <w:sz w:val="18"/>
      <w:szCs w:val="18"/>
      <w:lang w:eastAsia="en-US"/>
    </w:rPr>
  </w:style>
  <w:style w:type="character" w:styleId="CommentReference">
    <w:name w:val="annotation reference"/>
    <w:basedOn w:val="DefaultParagraphFont"/>
    <w:uiPriority w:val="99"/>
    <w:semiHidden/>
    <w:unhideWhenUsed/>
    <w:rsid w:val="00117EBC"/>
    <w:rPr>
      <w:sz w:val="16"/>
      <w:szCs w:val="16"/>
    </w:rPr>
  </w:style>
  <w:style w:type="paragraph" w:styleId="CommentText">
    <w:name w:val="annotation text"/>
    <w:basedOn w:val="Normal"/>
    <w:link w:val="CommentTextChar"/>
    <w:uiPriority w:val="99"/>
    <w:semiHidden/>
    <w:unhideWhenUsed/>
    <w:rsid w:val="00117EBC"/>
  </w:style>
  <w:style w:type="character" w:customStyle="1" w:styleId="CommentTextChar">
    <w:name w:val="Comment Text Char"/>
    <w:basedOn w:val="DefaultParagraphFont"/>
    <w:link w:val="CommentText"/>
    <w:uiPriority w:val="99"/>
    <w:semiHidden/>
    <w:rsid w:val="00117EBC"/>
    <w:rPr>
      <w:rFonts w:ascii="Times New Roman" w:eastAsiaTheme="minorHAnsi" w:hAnsi="Times New Roman" w:cs="Times New Roman (Body CS)"/>
      <w:sz w:val="20"/>
      <w:szCs w:val="20"/>
      <w:lang w:eastAsia="en-US"/>
    </w:rPr>
  </w:style>
  <w:style w:type="paragraph" w:styleId="CommentSubject">
    <w:name w:val="annotation subject"/>
    <w:basedOn w:val="CommentText"/>
    <w:next w:val="CommentText"/>
    <w:link w:val="CommentSubjectChar"/>
    <w:uiPriority w:val="99"/>
    <w:semiHidden/>
    <w:unhideWhenUsed/>
    <w:rsid w:val="00117EBC"/>
    <w:rPr>
      <w:b/>
      <w:bCs/>
    </w:rPr>
  </w:style>
  <w:style w:type="character" w:customStyle="1" w:styleId="CommentSubjectChar">
    <w:name w:val="Comment Subject Char"/>
    <w:basedOn w:val="CommentTextChar"/>
    <w:link w:val="CommentSubject"/>
    <w:uiPriority w:val="99"/>
    <w:semiHidden/>
    <w:rsid w:val="00117EBC"/>
    <w:rPr>
      <w:rFonts w:ascii="Times New Roman" w:eastAsiaTheme="minorHAnsi" w:hAnsi="Times New Roman" w:cs="Times New Roman (Body CS)"/>
      <w:b/>
      <w:bCs/>
      <w:sz w:val="20"/>
      <w:szCs w:val="20"/>
      <w:lang w:eastAsia="en-US"/>
    </w:rPr>
  </w:style>
  <w:style w:type="paragraph" w:customStyle="1" w:styleId="Body">
    <w:name w:val="Body"/>
    <w:rsid w:val="00117EBC"/>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 w:type="paragraph" w:styleId="Revision">
    <w:name w:val="Revision"/>
    <w:hidden/>
    <w:uiPriority w:val="99"/>
    <w:semiHidden/>
    <w:rsid w:val="00117EBC"/>
    <w:rPr>
      <w:rFonts w:ascii="Times New Roman" w:eastAsiaTheme="minorHAnsi" w:hAnsi="Times New Roman" w:cs="Times New Roman (Body CS)"/>
      <w:sz w:val="20"/>
      <w:szCs w:val="20"/>
      <w:lang w:eastAsia="en-US"/>
    </w:rPr>
  </w:style>
  <w:style w:type="paragraph" w:styleId="Header">
    <w:name w:val="header"/>
    <w:basedOn w:val="Normal"/>
    <w:link w:val="HeaderChar"/>
    <w:uiPriority w:val="99"/>
    <w:unhideWhenUsed/>
    <w:rsid w:val="00117EBC"/>
    <w:pPr>
      <w:tabs>
        <w:tab w:val="center" w:pos="4680"/>
        <w:tab w:val="right" w:pos="9360"/>
      </w:tabs>
    </w:pPr>
  </w:style>
  <w:style w:type="character" w:customStyle="1" w:styleId="HeaderChar">
    <w:name w:val="Header Char"/>
    <w:basedOn w:val="DefaultParagraphFont"/>
    <w:link w:val="Header"/>
    <w:uiPriority w:val="99"/>
    <w:rsid w:val="00117EBC"/>
    <w:rPr>
      <w:rFonts w:ascii="Times New Roman" w:eastAsiaTheme="minorHAnsi" w:hAnsi="Times New Roman" w:cs="Times New Roman (Body CS)"/>
      <w:sz w:val="20"/>
      <w:szCs w:val="20"/>
      <w:lang w:eastAsia="en-US"/>
    </w:rPr>
  </w:style>
  <w:style w:type="paragraph" w:styleId="Footer">
    <w:name w:val="footer"/>
    <w:basedOn w:val="Normal"/>
    <w:link w:val="FooterChar"/>
    <w:uiPriority w:val="99"/>
    <w:unhideWhenUsed/>
    <w:rsid w:val="00117EBC"/>
    <w:pPr>
      <w:tabs>
        <w:tab w:val="center" w:pos="4680"/>
        <w:tab w:val="right" w:pos="9360"/>
      </w:tabs>
    </w:pPr>
  </w:style>
  <w:style w:type="character" w:customStyle="1" w:styleId="FooterChar">
    <w:name w:val="Footer Char"/>
    <w:basedOn w:val="DefaultParagraphFont"/>
    <w:link w:val="Footer"/>
    <w:uiPriority w:val="99"/>
    <w:rsid w:val="00117EBC"/>
    <w:rPr>
      <w:rFonts w:ascii="Times New Roman" w:eastAsiaTheme="minorHAnsi" w:hAnsi="Times New Roman" w:cs="Times New Roman (Body CS)"/>
      <w:sz w:val="20"/>
      <w:szCs w:val="20"/>
      <w:lang w:eastAsia="en-US"/>
    </w:rPr>
  </w:style>
  <w:style w:type="paragraph" w:styleId="EndnoteText">
    <w:name w:val="endnote text"/>
    <w:basedOn w:val="Normal"/>
    <w:link w:val="EndnoteTextChar"/>
    <w:uiPriority w:val="99"/>
    <w:semiHidden/>
    <w:unhideWhenUsed/>
    <w:rsid w:val="00BA6869"/>
  </w:style>
  <w:style w:type="character" w:customStyle="1" w:styleId="EndnoteTextChar">
    <w:name w:val="Endnote Text Char"/>
    <w:basedOn w:val="DefaultParagraphFont"/>
    <w:link w:val="EndnoteText"/>
    <w:uiPriority w:val="99"/>
    <w:semiHidden/>
    <w:rsid w:val="00BA6869"/>
    <w:rPr>
      <w:rFonts w:ascii="Times New Roman" w:eastAsiaTheme="minorHAnsi" w:hAnsi="Times New Roman" w:cs="Times New Roman (Body CS)"/>
      <w:sz w:val="20"/>
      <w:szCs w:val="20"/>
      <w:lang w:eastAsia="en-US"/>
    </w:rPr>
  </w:style>
  <w:style w:type="character" w:styleId="EndnoteReference">
    <w:name w:val="endnote reference"/>
    <w:basedOn w:val="DefaultParagraphFont"/>
    <w:uiPriority w:val="99"/>
    <w:semiHidden/>
    <w:unhideWhenUsed/>
    <w:rsid w:val="00BA68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61F90-BED4-474A-9D61-2F13F5768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6286</Words>
  <Characters>35831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Adams</dc:creator>
  <cp:keywords/>
  <dc:description/>
  <cp:lastModifiedBy>casey goggin</cp:lastModifiedBy>
  <cp:revision>2</cp:revision>
  <dcterms:created xsi:type="dcterms:W3CDTF">2021-02-03T00:01:00Z</dcterms:created>
  <dcterms:modified xsi:type="dcterms:W3CDTF">2021-02-03T00:01:00Z</dcterms:modified>
</cp:coreProperties>
</file>